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38144" w14:textId="3391DE45" w:rsidR="004C375D" w:rsidRPr="00C824F2" w:rsidRDefault="00D07BAD" w:rsidP="004C375D">
      <w:pPr>
        <w:jc w:val="center"/>
        <w:rPr>
          <w:b/>
          <w:bCs/>
          <w:sz w:val="24"/>
          <w:szCs w:val="24"/>
          <w:lang w:eastAsia="en-US"/>
        </w:rPr>
      </w:pPr>
      <w:r w:rsidRPr="00C824F2">
        <w:rPr>
          <w:b/>
          <w:bCs/>
          <w:sz w:val="24"/>
          <w:szCs w:val="24"/>
          <w:lang w:eastAsia="en-US"/>
        </w:rPr>
        <w:t>System Zliczania Pasażerów</w:t>
      </w:r>
      <w:r w:rsidR="00EA68E0" w:rsidRPr="00C824F2">
        <w:rPr>
          <w:b/>
          <w:bCs/>
          <w:sz w:val="24"/>
          <w:szCs w:val="24"/>
          <w:lang w:eastAsia="en-US"/>
        </w:rPr>
        <w:t xml:space="preserve"> – założenie do SIWZ</w:t>
      </w:r>
      <w:r w:rsidR="005120F0" w:rsidRPr="00C824F2">
        <w:rPr>
          <w:b/>
          <w:bCs/>
          <w:sz w:val="24"/>
          <w:szCs w:val="24"/>
          <w:lang w:eastAsia="en-US"/>
        </w:rPr>
        <w:t xml:space="preserve"> - rozszerzone</w:t>
      </w:r>
    </w:p>
    <w:p w14:paraId="4374DCA3" w14:textId="649C134A" w:rsidR="004C375D" w:rsidRDefault="004C375D" w:rsidP="004C375D">
      <w:pPr>
        <w:jc w:val="center"/>
        <w:rPr>
          <w:b/>
          <w:bCs/>
          <w:lang w:eastAsia="en-US"/>
        </w:rPr>
      </w:pPr>
    </w:p>
    <w:p w14:paraId="3DF18AD9" w14:textId="7E08DEEB" w:rsidR="005120F0" w:rsidRDefault="005120F0" w:rsidP="0049709F">
      <w:pPr>
        <w:pStyle w:val="Akapitzlist"/>
        <w:numPr>
          <w:ilvl w:val="0"/>
          <w:numId w:val="2"/>
        </w:numPr>
        <w:spacing w:before="240" w:after="120"/>
        <w:ind w:left="284" w:hanging="284"/>
        <w:rPr>
          <w:b/>
          <w:bCs/>
          <w:lang w:eastAsia="en-US"/>
        </w:rPr>
      </w:pPr>
      <w:r>
        <w:rPr>
          <w:b/>
          <w:bCs/>
          <w:lang w:eastAsia="en-US"/>
        </w:rPr>
        <w:t>Warunki udziału w postępowaniu</w:t>
      </w:r>
    </w:p>
    <w:p w14:paraId="6ABE7D6C" w14:textId="77777777" w:rsidR="005120F0" w:rsidRDefault="005120F0" w:rsidP="005120F0">
      <w:pPr>
        <w:pStyle w:val="Akapitzlist"/>
        <w:numPr>
          <w:ilvl w:val="3"/>
          <w:numId w:val="1"/>
        </w:numPr>
        <w:ind w:left="567" w:hanging="283"/>
        <w:jc w:val="both"/>
      </w:pPr>
      <w:r>
        <w:t xml:space="preserve">Dostawa w danym kontrakcie lub kontraktach oprogramowania SZP </w:t>
      </w:r>
      <w:r w:rsidRPr="00EA68E0">
        <w:t xml:space="preserve">do gromadzenia i analizy danych o potokach pasażerskich </w:t>
      </w:r>
      <w:r>
        <w:t>obsługującego w sumie co najmniej 100 pojazdów transportu zbiorowego (autobusy, tramwaje, trolejbusy lub pociągi).</w:t>
      </w:r>
    </w:p>
    <w:p w14:paraId="28DE816F" w14:textId="77777777" w:rsidR="005120F0" w:rsidRDefault="005120F0" w:rsidP="005120F0">
      <w:pPr>
        <w:pStyle w:val="Akapitzlist"/>
        <w:numPr>
          <w:ilvl w:val="3"/>
          <w:numId w:val="1"/>
        </w:numPr>
        <w:ind w:left="567" w:hanging="283"/>
        <w:jc w:val="both"/>
      </w:pPr>
      <w:r>
        <w:t xml:space="preserve">Utrzymanie w danym kontrakcie lub kontraktach przez okres co najmniej 12 miesięcy oprogramowania SZP </w:t>
      </w:r>
      <w:r w:rsidRPr="00EA68E0">
        <w:t xml:space="preserve">do gromadzenia i analizy danych o potokach pasażerskich </w:t>
      </w:r>
      <w:r>
        <w:t>obsługującego w sumie co najmniej 100 pojazdów transportu zbiorowego.</w:t>
      </w:r>
    </w:p>
    <w:p w14:paraId="7B185A0F" w14:textId="77777777" w:rsidR="005120F0" w:rsidRDefault="005120F0" w:rsidP="005120F0">
      <w:pPr>
        <w:pStyle w:val="Akapitzlist"/>
        <w:numPr>
          <w:ilvl w:val="3"/>
          <w:numId w:val="1"/>
        </w:numPr>
        <w:ind w:left="567" w:hanging="283"/>
        <w:jc w:val="both"/>
      </w:pPr>
      <w:r>
        <w:t>Montaż w danym kontrakcie lub kontraktach urządzeń SZP obejmujący co najmniej jednostkę centralną i dostawę lub podłączenie bramek liczących w sumie w co najmniej 25 pojazdach transportu zbiorowego.</w:t>
      </w:r>
    </w:p>
    <w:p w14:paraId="7043F060" w14:textId="77777777" w:rsidR="005120F0" w:rsidRDefault="005120F0" w:rsidP="005120F0">
      <w:pPr>
        <w:pStyle w:val="Akapitzlist"/>
        <w:numPr>
          <w:ilvl w:val="3"/>
          <w:numId w:val="1"/>
        </w:numPr>
        <w:ind w:left="567" w:hanging="283"/>
        <w:jc w:val="both"/>
      </w:pPr>
      <w:r>
        <w:t>Utrzymanie w danym kontrakcie lub kontraktach przez okres co najmniej 12 miesięcy urządzeń SZP (co najmniej jednostka centralna i bramki liczące) w sumie w co najmniej 25 pojazdach transportu zbiorowego</w:t>
      </w:r>
    </w:p>
    <w:p w14:paraId="796987AF" w14:textId="77777777" w:rsidR="005120F0" w:rsidRDefault="005120F0" w:rsidP="005120F0">
      <w:pPr>
        <w:pStyle w:val="Akapitzlist"/>
        <w:numPr>
          <w:ilvl w:val="3"/>
          <w:numId w:val="1"/>
        </w:numPr>
        <w:ind w:left="567" w:hanging="283"/>
        <w:jc w:val="both"/>
      </w:pPr>
      <w:r>
        <w:t>Doświadczenie w montażu w danym kontrakcie lub kontraktach w sumie w co najmniej 10 pojazdach transportu zbiorowego systemu elektronicznego (SZP, SDIP, monitoring lub system biletowy) korzystającego z sygnałów z magistrali CAN pojazdu.</w:t>
      </w:r>
    </w:p>
    <w:p w14:paraId="60874BAB" w14:textId="77777777" w:rsidR="005120F0" w:rsidRDefault="005120F0" w:rsidP="005120F0">
      <w:pPr>
        <w:pStyle w:val="Akapitzlist"/>
        <w:ind w:left="284"/>
        <w:jc w:val="both"/>
      </w:pPr>
      <w:r>
        <w:t>Wykonawca musi spełnić wszystkie 5 ww. kryteriów. Zamawiający dopuszcza, aby zadania z punktów 1-5 były realizowane w kontrakcie obejmującym więcej niż jeden punkt, jak również, aby realizacja zakresu z poszczególnych punktów nastąpiła w więcej niż jednym kontrakcie zrealizowanym w ww. okresie.</w:t>
      </w:r>
    </w:p>
    <w:p w14:paraId="520407B0" w14:textId="77777777" w:rsidR="005120F0" w:rsidRPr="002C52CB" w:rsidRDefault="005120F0" w:rsidP="0049709F">
      <w:pPr>
        <w:spacing w:before="120"/>
        <w:jc w:val="both"/>
      </w:pPr>
      <w:r w:rsidRPr="00E235FF">
        <w:rPr>
          <w:u w:val="single"/>
        </w:rPr>
        <w:t>Ponadto w formularzu ofertowym powinien się znaleźć zapis</w:t>
      </w:r>
      <w:r w:rsidRPr="002C52CB">
        <w:t>:</w:t>
      </w:r>
    </w:p>
    <w:p w14:paraId="7FA7D4CF" w14:textId="77777777" w:rsidR="005120F0" w:rsidRPr="002C52CB" w:rsidRDefault="005120F0" w:rsidP="005120F0">
      <w:pPr>
        <w:jc w:val="both"/>
      </w:pPr>
      <w:r w:rsidRPr="002C52CB">
        <w:t>Wykonawca składając niniejszą ofertę oświadcza, że dostarczane urządzenia spełniają wymagania prawa polskiego i Unii Europejskiej dla urządzeń elektronicznych montowanych w pojazdach samochodowych. Na potwierdzenie powyższego Wykonawca najpóźniej w dniu przekazania urządzeń do odbioru musi dostarczyć Świadectwo Homologacyjne właściwej instytucji na zgodność z</w:t>
      </w:r>
      <w:r>
        <w:t> </w:t>
      </w:r>
      <w:r w:rsidRPr="002C52CB">
        <w:t>dyrektywą 2004/104/WE lub Regulaminu nr 10 EKG ONZ.</w:t>
      </w:r>
    </w:p>
    <w:p w14:paraId="62E7D9E0" w14:textId="35D16A8E" w:rsidR="00D07BAD" w:rsidRPr="004C375D" w:rsidRDefault="00E235FF" w:rsidP="0049709F">
      <w:pPr>
        <w:pStyle w:val="Akapitzlist"/>
        <w:numPr>
          <w:ilvl w:val="0"/>
          <w:numId w:val="2"/>
        </w:numPr>
        <w:spacing w:before="240" w:after="120"/>
        <w:ind w:left="284" w:hanging="284"/>
        <w:rPr>
          <w:b/>
          <w:bCs/>
          <w:lang w:eastAsia="en-US"/>
        </w:rPr>
      </w:pPr>
      <w:r>
        <w:rPr>
          <w:b/>
          <w:bCs/>
          <w:lang w:eastAsia="en-US"/>
        </w:rPr>
        <w:t>K</w:t>
      </w:r>
      <w:r w:rsidR="00D07BAD" w:rsidRPr="004C375D">
        <w:rPr>
          <w:b/>
          <w:bCs/>
          <w:lang w:eastAsia="en-US"/>
        </w:rPr>
        <w:t>ryteri</w:t>
      </w:r>
      <w:r>
        <w:rPr>
          <w:b/>
          <w:bCs/>
          <w:lang w:eastAsia="en-US"/>
        </w:rPr>
        <w:t>a</w:t>
      </w:r>
      <w:r w:rsidR="00D07BAD" w:rsidRPr="004C375D">
        <w:rPr>
          <w:b/>
          <w:bCs/>
          <w:lang w:eastAsia="en-US"/>
        </w:rPr>
        <w:t xml:space="preserve"> oceny ofert</w:t>
      </w:r>
    </w:p>
    <w:p w14:paraId="739E5DCF" w14:textId="43591A5B" w:rsidR="00D07BAD" w:rsidRPr="005120F0" w:rsidRDefault="00D07BAD" w:rsidP="005120F0">
      <w:pPr>
        <w:pStyle w:val="Akapitzlist"/>
        <w:numPr>
          <w:ilvl w:val="0"/>
          <w:numId w:val="14"/>
        </w:numPr>
        <w:ind w:left="567" w:hanging="283"/>
        <w:jc w:val="both"/>
        <w:rPr>
          <w:rFonts w:eastAsia="Times New Roman"/>
          <w:lang w:eastAsia="en-US"/>
        </w:rPr>
      </w:pPr>
      <w:r w:rsidRPr="005120F0">
        <w:rPr>
          <w:rFonts w:eastAsia="Times New Roman"/>
          <w:b/>
          <w:bCs/>
          <w:lang w:eastAsia="en-US"/>
        </w:rPr>
        <w:t>Cena</w:t>
      </w:r>
      <w:r w:rsidR="00471ADB" w:rsidRPr="005120F0">
        <w:rPr>
          <w:rFonts w:eastAsia="Times New Roman"/>
          <w:b/>
          <w:bCs/>
          <w:lang w:eastAsia="en-US"/>
        </w:rPr>
        <w:t xml:space="preserve"> – 60%</w:t>
      </w:r>
      <w:r w:rsidR="003C3EFB" w:rsidRPr="005120F0">
        <w:rPr>
          <w:rFonts w:eastAsia="Times New Roman"/>
          <w:b/>
          <w:bCs/>
          <w:lang w:eastAsia="en-US"/>
        </w:rPr>
        <w:t xml:space="preserve"> (60 pkt)</w:t>
      </w:r>
    </w:p>
    <w:p w14:paraId="0E278860" w14:textId="38EB8CA0" w:rsidR="00DD79B4" w:rsidRDefault="00DD79B4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006166AA">
        <w:rPr>
          <w:rFonts w:eastAsia="Times New Roman"/>
          <w:b/>
          <w:bCs/>
          <w:lang w:eastAsia="en-US"/>
        </w:rPr>
        <w:t>Czas realizacji wdrożenia – 5%</w:t>
      </w:r>
      <w:r w:rsidRPr="006166AA">
        <w:rPr>
          <w:rFonts w:eastAsia="Times New Roman"/>
          <w:lang w:eastAsia="en-US"/>
        </w:rPr>
        <w:t xml:space="preserve"> </w:t>
      </w:r>
      <w:r w:rsidR="003B103F" w:rsidRPr="00964C5C">
        <w:rPr>
          <w:rFonts w:eastAsia="Times New Roman"/>
          <w:b/>
          <w:bCs/>
          <w:lang w:eastAsia="en-US"/>
        </w:rPr>
        <w:t>(5 pkt)</w:t>
      </w:r>
      <w:r w:rsidR="003B103F">
        <w:rPr>
          <w:rFonts w:eastAsia="Times New Roman"/>
          <w:lang w:eastAsia="en-US"/>
        </w:rPr>
        <w:t xml:space="preserve"> </w:t>
      </w:r>
      <w:r w:rsidRPr="006166AA">
        <w:rPr>
          <w:rFonts w:eastAsia="Times New Roman"/>
          <w:lang w:eastAsia="en-US"/>
        </w:rPr>
        <w:t xml:space="preserve">- zakładany czas wdrożenia rozwiązania to </w:t>
      </w:r>
      <w:r w:rsidR="00E4526B">
        <w:rPr>
          <w:rFonts w:eastAsia="Times New Roman"/>
          <w:lang w:eastAsia="en-US"/>
        </w:rPr>
        <w:t xml:space="preserve">maksymalnie </w:t>
      </w:r>
      <w:r>
        <w:rPr>
          <w:rFonts w:eastAsia="Times New Roman"/>
          <w:lang w:eastAsia="en-US"/>
        </w:rPr>
        <w:t>30</w:t>
      </w:r>
      <w:r w:rsidRPr="006166AA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tygodni</w:t>
      </w:r>
      <w:r w:rsidRPr="006166AA">
        <w:rPr>
          <w:rFonts w:eastAsia="Times New Roman"/>
          <w:lang w:eastAsia="en-US"/>
        </w:rPr>
        <w:t xml:space="preserve">, skrócenie tego okresu </w:t>
      </w:r>
      <w:r>
        <w:rPr>
          <w:rFonts w:eastAsia="Times New Roman"/>
          <w:lang w:eastAsia="en-US"/>
        </w:rPr>
        <w:t xml:space="preserve">o </w:t>
      </w:r>
      <w:r w:rsidR="00E4526B">
        <w:rPr>
          <w:rFonts w:eastAsia="Times New Roman"/>
          <w:lang w:eastAsia="en-US"/>
        </w:rPr>
        <w:t xml:space="preserve">każdy </w:t>
      </w:r>
      <w:r>
        <w:rPr>
          <w:rFonts w:eastAsia="Times New Roman"/>
          <w:lang w:eastAsia="en-US"/>
        </w:rPr>
        <w:t xml:space="preserve">1 tydzień to + 1 pkt. </w:t>
      </w:r>
      <w:r w:rsidR="00E4526B">
        <w:rPr>
          <w:rFonts w:eastAsia="Times New Roman"/>
          <w:lang w:eastAsia="en-US"/>
        </w:rPr>
        <w:t xml:space="preserve">- </w:t>
      </w:r>
      <w:r>
        <w:rPr>
          <w:rFonts w:eastAsia="Times New Roman"/>
          <w:lang w:eastAsia="en-US"/>
        </w:rPr>
        <w:t xml:space="preserve">max 5 pkt. (przy </w:t>
      </w:r>
      <w:r w:rsidR="00E4526B">
        <w:rPr>
          <w:rFonts w:eastAsia="Times New Roman"/>
          <w:lang w:eastAsia="en-US"/>
        </w:rPr>
        <w:t xml:space="preserve">zaoferowaniu wykonania w </w:t>
      </w:r>
      <w:r>
        <w:rPr>
          <w:rFonts w:eastAsia="Times New Roman"/>
          <w:lang w:eastAsia="en-US"/>
        </w:rPr>
        <w:t>25 tygodni)</w:t>
      </w:r>
      <w:r w:rsidR="007B1032">
        <w:rPr>
          <w:rFonts w:eastAsia="Times New Roman"/>
          <w:lang w:eastAsia="en-US"/>
        </w:rPr>
        <w:t>.</w:t>
      </w:r>
    </w:p>
    <w:p w14:paraId="268CC552" w14:textId="67622449" w:rsidR="00397085" w:rsidRPr="00E4526B" w:rsidRDefault="00DD79B4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00471ADB">
        <w:rPr>
          <w:rFonts w:eastAsia="Times New Roman"/>
          <w:b/>
          <w:bCs/>
          <w:lang w:eastAsia="en-US"/>
        </w:rPr>
        <w:t>Czas naprawy</w:t>
      </w:r>
      <w:r w:rsidR="000B30AE">
        <w:rPr>
          <w:rFonts w:eastAsia="Times New Roman"/>
          <w:b/>
          <w:bCs/>
          <w:lang w:eastAsia="en-US"/>
        </w:rPr>
        <w:t xml:space="preserve"> – </w:t>
      </w:r>
      <w:r w:rsidR="004206ED">
        <w:rPr>
          <w:rFonts w:eastAsia="Times New Roman"/>
          <w:b/>
          <w:bCs/>
          <w:lang w:eastAsia="en-US"/>
        </w:rPr>
        <w:t>5</w:t>
      </w:r>
      <w:r w:rsidR="000B30AE">
        <w:rPr>
          <w:rFonts w:eastAsia="Times New Roman"/>
          <w:b/>
          <w:bCs/>
          <w:lang w:eastAsia="en-US"/>
        </w:rPr>
        <w:t xml:space="preserve"> %</w:t>
      </w:r>
      <w:r w:rsidR="003B103F">
        <w:rPr>
          <w:rFonts w:eastAsia="Times New Roman"/>
          <w:b/>
          <w:bCs/>
          <w:lang w:eastAsia="en-US"/>
        </w:rPr>
        <w:t xml:space="preserve"> (</w:t>
      </w:r>
      <w:r w:rsidR="004206ED">
        <w:rPr>
          <w:rFonts w:eastAsia="Times New Roman"/>
          <w:b/>
          <w:bCs/>
          <w:lang w:eastAsia="en-US"/>
        </w:rPr>
        <w:t>5</w:t>
      </w:r>
      <w:r w:rsidR="003B103F">
        <w:rPr>
          <w:rFonts w:eastAsia="Times New Roman"/>
          <w:b/>
          <w:bCs/>
          <w:lang w:eastAsia="en-US"/>
        </w:rPr>
        <w:t xml:space="preserve"> pkt)</w:t>
      </w:r>
    </w:p>
    <w:p w14:paraId="3AEA8D50" w14:textId="1EEC744B" w:rsidR="00397085" w:rsidRPr="00C824F2" w:rsidRDefault="00397085" w:rsidP="00E235FF">
      <w:pPr>
        <w:pStyle w:val="Akapitzlist"/>
        <w:numPr>
          <w:ilvl w:val="1"/>
          <w:numId w:val="13"/>
        </w:numPr>
        <w:jc w:val="both"/>
        <w:rPr>
          <w:rFonts w:eastAsia="Times New Roman"/>
          <w:lang w:eastAsia="en-US"/>
        </w:rPr>
      </w:pPr>
      <w:r w:rsidRPr="00C824F2">
        <w:rPr>
          <w:rFonts w:eastAsia="Times New Roman"/>
          <w:lang w:eastAsia="en-US"/>
        </w:rPr>
        <w:t xml:space="preserve">Czas naprawy błędów klasy </w:t>
      </w:r>
      <w:r w:rsidR="000B30AE" w:rsidRPr="00C824F2">
        <w:rPr>
          <w:rFonts w:eastAsia="Times New Roman"/>
          <w:lang w:eastAsia="en-US"/>
        </w:rPr>
        <w:t xml:space="preserve">0 </w:t>
      </w:r>
      <w:r w:rsidR="007B1032" w:rsidRPr="00C824F2">
        <w:rPr>
          <w:rFonts w:eastAsia="Times New Roman"/>
          <w:lang w:eastAsia="en-US"/>
        </w:rPr>
        <w:t xml:space="preserve"> (</w:t>
      </w:r>
      <w:r w:rsidR="004206ED" w:rsidRPr="00C824F2">
        <w:rPr>
          <w:rFonts w:eastAsia="Times New Roman"/>
          <w:lang w:eastAsia="en-US"/>
        </w:rPr>
        <w:t>2</w:t>
      </w:r>
      <w:r w:rsidR="007B1032" w:rsidRPr="00C824F2">
        <w:rPr>
          <w:rFonts w:eastAsia="Times New Roman"/>
          <w:lang w:eastAsia="en-US"/>
        </w:rPr>
        <w:t xml:space="preserve"> pkt) </w:t>
      </w:r>
      <w:r w:rsidR="000B30AE" w:rsidRPr="00C824F2">
        <w:rPr>
          <w:rFonts w:eastAsia="Times New Roman"/>
          <w:lang w:eastAsia="en-US"/>
        </w:rPr>
        <w:t xml:space="preserve">– wymagany umową czas naprawy to </w:t>
      </w:r>
      <w:r w:rsidR="00A206A0" w:rsidRPr="00C824F2">
        <w:rPr>
          <w:rFonts w:eastAsia="Times New Roman"/>
          <w:lang w:eastAsia="en-US"/>
        </w:rPr>
        <w:t>8</w:t>
      </w:r>
      <w:r w:rsidR="000B30AE" w:rsidRPr="00C824F2">
        <w:rPr>
          <w:rFonts w:eastAsia="Times New Roman"/>
          <w:lang w:eastAsia="en-US"/>
        </w:rPr>
        <w:t xml:space="preserve"> godzin, </w:t>
      </w:r>
      <w:r w:rsidR="00A206A0" w:rsidRPr="00C824F2">
        <w:rPr>
          <w:rFonts w:eastAsia="Times New Roman"/>
          <w:lang w:eastAsia="en-US"/>
        </w:rPr>
        <w:t xml:space="preserve">skrócenie czasu o każdą godzinę to </w:t>
      </w:r>
      <w:r w:rsidR="00E4526B" w:rsidRPr="00C824F2">
        <w:rPr>
          <w:rFonts w:eastAsia="Times New Roman"/>
          <w:lang w:eastAsia="en-US"/>
        </w:rPr>
        <w:t xml:space="preserve">+ </w:t>
      </w:r>
      <w:r w:rsidR="004206ED" w:rsidRPr="00C824F2">
        <w:rPr>
          <w:rFonts w:eastAsia="Times New Roman"/>
          <w:lang w:eastAsia="en-US"/>
        </w:rPr>
        <w:t>0,5</w:t>
      </w:r>
      <w:r w:rsidR="00A206A0" w:rsidRPr="00C824F2">
        <w:rPr>
          <w:rFonts w:eastAsia="Times New Roman"/>
          <w:lang w:eastAsia="en-US"/>
        </w:rPr>
        <w:t xml:space="preserve"> pkt, maksymalnie </w:t>
      </w:r>
      <w:r w:rsidR="004206ED" w:rsidRPr="00C824F2">
        <w:rPr>
          <w:rFonts w:eastAsia="Times New Roman"/>
          <w:lang w:eastAsia="en-US"/>
        </w:rPr>
        <w:t>2</w:t>
      </w:r>
      <w:r w:rsidR="00A206A0" w:rsidRPr="00C824F2">
        <w:rPr>
          <w:rFonts w:eastAsia="Times New Roman"/>
          <w:lang w:eastAsia="en-US"/>
        </w:rPr>
        <w:t xml:space="preserve"> pkt przy zaoferowaniu czasu naprawy w 4 godziny</w:t>
      </w:r>
      <w:r w:rsidR="007B1032" w:rsidRPr="00C824F2">
        <w:rPr>
          <w:rFonts w:eastAsia="Times New Roman"/>
          <w:lang w:eastAsia="en-US"/>
        </w:rPr>
        <w:t>;</w:t>
      </w:r>
    </w:p>
    <w:p w14:paraId="438ADEC2" w14:textId="67B72401" w:rsidR="00397085" w:rsidRPr="00C824F2" w:rsidRDefault="00397085" w:rsidP="00E235FF">
      <w:pPr>
        <w:pStyle w:val="Akapitzlist"/>
        <w:numPr>
          <w:ilvl w:val="1"/>
          <w:numId w:val="13"/>
        </w:numPr>
        <w:jc w:val="both"/>
        <w:rPr>
          <w:rFonts w:eastAsia="Times New Roman"/>
          <w:lang w:eastAsia="en-US"/>
        </w:rPr>
      </w:pPr>
      <w:r w:rsidRPr="00C824F2">
        <w:rPr>
          <w:rFonts w:eastAsia="Times New Roman"/>
          <w:lang w:eastAsia="en-US"/>
        </w:rPr>
        <w:t>Czas naprawy błędów klasy A</w:t>
      </w:r>
      <w:r w:rsidR="007B1032" w:rsidRPr="00C824F2">
        <w:rPr>
          <w:rFonts w:eastAsia="Times New Roman"/>
          <w:lang w:eastAsia="en-US"/>
        </w:rPr>
        <w:t xml:space="preserve"> (</w:t>
      </w:r>
      <w:r w:rsidR="008454D1" w:rsidRPr="00C824F2">
        <w:rPr>
          <w:rFonts w:eastAsia="Times New Roman"/>
          <w:lang w:eastAsia="en-US"/>
        </w:rPr>
        <w:t>1</w:t>
      </w:r>
      <w:r w:rsidR="007B1032" w:rsidRPr="00C824F2">
        <w:rPr>
          <w:rFonts w:eastAsia="Times New Roman"/>
          <w:lang w:eastAsia="en-US"/>
        </w:rPr>
        <w:t xml:space="preserve"> pkt) – wymagany umową czas naprawy to 12 godzin, skrócenie czasu o każdą godzinę to </w:t>
      </w:r>
      <w:r w:rsidR="00E4526B" w:rsidRPr="00C824F2">
        <w:rPr>
          <w:rFonts w:eastAsia="Times New Roman"/>
          <w:lang w:eastAsia="en-US"/>
        </w:rPr>
        <w:t xml:space="preserve">+ </w:t>
      </w:r>
      <w:r w:rsidR="007B1032" w:rsidRPr="00C824F2">
        <w:rPr>
          <w:rFonts w:eastAsia="Times New Roman"/>
          <w:lang w:eastAsia="en-US"/>
        </w:rPr>
        <w:t>0,</w:t>
      </w:r>
      <w:r w:rsidR="004206ED" w:rsidRPr="00C824F2">
        <w:rPr>
          <w:rFonts w:eastAsia="Times New Roman"/>
          <w:lang w:eastAsia="en-US"/>
        </w:rPr>
        <w:t>25</w:t>
      </w:r>
      <w:r w:rsidR="007B1032" w:rsidRPr="00C824F2">
        <w:rPr>
          <w:rFonts w:eastAsia="Times New Roman"/>
          <w:lang w:eastAsia="en-US"/>
        </w:rPr>
        <w:t xml:space="preserve"> pkt, maksymalnie 2 pkt przy zaoferowaniu czasu naprawy w 8 godzin;</w:t>
      </w:r>
    </w:p>
    <w:p w14:paraId="627554DA" w14:textId="4FB0323E" w:rsidR="00397085" w:rsidRPr="007B1032" w:rsidRDefault="00397085" w:rsidP="00E235FF">
      <w:pPr>
        <w:pStyle w:val="Akapitzlist"/>
        <w:numPr>
          <w:ilvl w:val="1"/>
          <w:numId w:val="13"/>
        </w:numPr>
        <w:jc w:val="both"/>
        <w:rPr>
          <w:rFonts w:eastAsia="Times New Roman"/>
          <w:lang w:eastAsia="en-US"/>
        </w:rPr>
      </w:pPr>
      <w:r w:rsidRPr="00C824F2">
        <w:rPr>
          <w:rFonts w:eastAsia="Times New Roman"/>
          <w:lang w:eastAsia="en-US"/>
        </w:rPr>
        <w:t>Czas naprawy błędów klasy B</w:t>
      </w:r>
      <w:r w:rsidR="007B1032" w:rsidRPr="00C824F2">
        <w:rPr>
          <w:rFonts w:eastAsia="Times New Roman"/>
          <w:lang w:eastAsia="en-US"/>
        </w:rPr>
        <w:t xml:space="preserve"> (</w:t>
      </w:r>
      <w:r w:rsidR="004206ED" w:rsidRPr="00C824F2">
        <w:rPr>
          <w:rFonts w:eastAsia="Times New Roman"/>
          <w:lang w:eastAsia="en-US"/>
        </w:rPr>
        <w:t>2</w:t>
      </w:r>
      <w:r w:rsidR="007B1032" w:rsidRPr="00C824F2">
        <w:rPr>
          <w:rFonts w:eastAsia="Times New Roman"/>
          <w:lang w:eastAsia="en-US"/>
        </w:rPr>
        <w:t xml:space="preserve"> pkt) – wymagany</w:t>
      </w:r>
      <w:r w:rsidR="007B1032" w:rsidRPr="000B30AE">
        <w:rPr>
          <w:rFonts w:eastAsia="Times New Roman"/>
          <w:lang w:eastAsia="en-US"/>
        </w:rPr>
        <w:t xml:space="preserve"> umową </w:t>
      </w:r>
      <w:r w:rsidR="007B1032">
        <w:rPr>
          <w:rFonts w:eastAsia="Times New Roman"/>
          <w:lang w:eastAsia="en-US"/>
        </w:rPr>
        <w:t xml:space="preserve">czas naprawy </w:t>
      </w:r>
      <w:r w:rsidR="007B1032" w:rsidRPr="000B30AE">
        <w:rPr>
          <w:rFonts w:eastAsia="Times New Roman"/>
          <w:lang w:eastAsia="en-US"/>
        </w:rPr>
        <w:t xml:space="preserve">to </w:t>
      </w:r>
      <w:r w:rsidR="007B1032">
        <w:rPr>
          <w:rFonts w:eastAsia="Times New Roman"/>
          <w:lang w:eastAsia="en-US"/>
        </w:rPr>
        <w:t>24</w:t>
      </w:r>
      <w:r w:rsidR="007B1032" w:rsidRPr="000B30AE">
        <w:rPr>
          <w:rFonts w:eastAsia="Times New Roman"/>
          <w:lang w:eastAsia="en-US"/>
        </w:rPr>
        <w:t xml:space="preserve"> godzin</w:t>
      </w:r>
      <w:r w:rsidR="007B1032">
        <w:rPr>
          <w:rFonts w:eastAsia="Times New Roman"/>
          <w:lang w:eastAsia="en-US"/>
        </w:rPr>
        <w:t>y</w:t>
      </w:r>
      <w:r w:rsidR="007B1032" w:rsidRPr="000B30AE">
        <w:rPr>
          <w:rFonts w:eastAsia="Times New Roman"/>
          <w:lang w:eastAsia="en-US"/>
        </w:rPr>
        <w:t xml:space="preserve">, </w:t>
      </w:r>
      <w:r w:rsidR="007B1032">
        <w:rPr>
          <w:rFonts w:eastAsia="Times New Roman"/>
          <w:lang w:eastAsia="en-US"/>
        </w:rPr>
        <w:t xml:space="preserve">skrócenie czasu o każdą godzinę to </w:t>
      </w:r>
      <w:r w:rsidR="00E4526B">
        <w:rPr>
          <w:rFonts w:eastAsia="Times New Roman"/>
          <w:lang w:eastAsia="en-US"/>
        </w:rPr>
        <w:t xml:space="preserve">+ </w:t>
      </w:r>
      <w:r w:rsidR="007B1032">
        <w:rPr>
          <w:rFonts w:eastAsia="Times New Roman"/>
          <w:lang w:eastAsia="en-US"/>
        </w:rPr>
        <w:t>0,</w:t>
      </w:r>
      <w:r w:rsidR="004206ED">
        <w:rPr>
          <w:rFonts w:eastAsia="Times New Roman"/>
          <w:lang w:eastAsia="en-US"/>
        </w:rPr>
        <w:t>1</w:t>
      </w:r>
      <w:r w:rsidR="007B1032">
        <w:rPr>
          <w:rFonts w:eastAsia="Times New Roman"/>
          <w:lang w:eastAsia="en-US"/>
        </w:rPr>
        <w:t xml:space="preserve"> pkt;</w:t>
      </w:r>
      <w:r w:rsidR="007B1032">
        <w:rPr>
          <w:rFonts w:eastAsia="Times New Roman"/>
          <w:b/>
          <w:bCs/>
          <w:lang w:eastAsia="en-US"/>
        </w:rPr>
        <w:t xml:space="preserve"> </w:t>
      </w:r>
      <w:r w:rsidR="007B1032" w:rsidRPr="007B1032">
        <w:rPr>
          <w:rFonts w:eastAsia="Times New Roman"/>
          <w:lang w:eastAsia="en-US"/>
        </w:rPr>
        <w:t xml:space="preserve">maksymalnie </w:t>
      </w:r>
      <w:r w:rsidR="004206ED">
        <w:rPr>
          <w:rFonts w:eastAsia="Times New Roman"/>
          <w:lang w:eastAsia="en-US"/>
        </w:rPr>
        <w:t>2</w:t>
      </w:r>
      <w:r w:rsidR="007B1032" w:rsidRPr="007B1032">
        <w:rPr>
          <w:rFonts w:eastAsia="Times New Roman"/>
          <w:lang w:eastAsia="en-US"/>
        </w:rPr>
        <w:t xml:space="preserve"> pkt przy zaoferowaniu czasu naprawy </w:t>
      </w:r>
      <w:r w:rsidR="00E235FF">
        <w:rPr>
          <w:rFonts w:eastAsia="Times New Roman"/>
          <w:lang w:eastAsia="en-US"/>
        </w:rPr>
        <w:t xml:space="preserve">w </w:t>
      </w:r>
      <w:r w:rsidR="004206ED">
        <w:rPr>
          <w:rFonts w:eastAsia="Times New Roman"/>
          <w:lang w:eastAsia="en-US"/>
        </w:rPr>
        <w:t>4</w:t>
      </w:r>
      <w:r w:rsidR="003B103F" w:rsidRPr="007B1032">
        <w:rPr>
          <w:rFonts w:eastAsia="Times New Roman"/>
          <w:lang w:eastAsia="en-US"/>
        </w:rPr>
        <w:t xml:space="preserve"> </w:t>
      </w:r>
      <w:r w:rsidR="007B1032" w:rsidRPr="007B1032">
        <w:rPr>
          <w:rFonts w:eastAsia="Times New Roman"/>
          <w:lang w:eastAsia="en-US"/>
        </w:rPr>
        <w:t>godzin</w:t>
      </w:r>
      <w:r w:rsidR="00E235FF">
        <w:rPr>
          <w:rFonts w:eastAsia="Times New Roman"/>
          <w:lang w:eastAsia="en-US"/>
        </w:rPr>
        <w:t>y.</w:t>
      </w:r>
    </w:p>
    <w:p w14:paraId="7926E06E" w14:textId="22DB3819" w:rsidR="00DD79B4" w:rsidRDefault="00DD79B4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006166AA">
        <w:rPr>
          <w:rFonts w:eastAsia="Times New Roman"/>
          <w:b/>
          <w:bCs/>
          <w:lang w:eastAsia="en-US"/>
        </w:rPr>
        <w:t xml:space="preserve">Liczba godzin rozwojowych – </w:t>
      </w:r>
      <w:r w:rsidR="004206ED">
        <w:rPr>
          <w:rFonts w:eastAsia="Times New Roman"/>
          <w:b/>
          <w:bCs/>
          <w:lang w:eastAsia="en-US"/>
        </w:rPr>
        <w:t>1</w:t>
      </w:r>
      <w:r w:rsidR="008454D1">
        <w:rPr>
          <w:rFonts w:eastAsia="Times New Roman"/>
          <w:b/>
          <w:bCs/>
          <w:lang w:eastAsia="en-US"/>
        </w:rPr>
        <w:t>0</w:t>
      </w:r>
      <w:r w:rsidRPr="006166AA">
        <w:rPr>
          <w:rFonts w:eastAsia="Times New Roman"/>
          <w:b/>
          <w:bCs/>
          <w:lang w:eastAsia="en-US"/>
        </w:rPr>
        <w:t>%</w:t>
      </w:r>
      <w:r w:rsidRPr="006166AA">
        <w:rPr>
          <w:rFonts w:eastAsia="Times New Roman"/>
          <w:lang w:eastAsia="en-US"/>
        </w:rPr>
        <w:t xml:space="preserve"> </w:t>
      </w:r>
      <w:r w:rsidR="00964C5C" w:rsidRPr="00964C5C">
        <w:rPr>
          <w:rFonts w:eastAsia="Times New Roman"/>
          <w:b/>
          <w:bCs/>
          <w:lang w:eastAsia="en-US"/>
        </w:rPr>
        <w:t>(</w:t>
      </w:r>
      <w:r w:rsidR="004206ED">
        <w:rPr>
          <w:rFonts w:eastAsia="Times New Roman"/>
          <w:b/>
          <w:bCs/>
          <w:lang w:eastAsia="en-US"/>
        </w:rPr>
        <w:t>1</w:t>
      </w:r>
      <w:r w:rsidR="008454D1">
        <w:rPr>
          <w:rFonts w:eastAsia="Times New Roman"/>
          <w:b/>
          <w:bCs/>
          <w:lang w:eastAsia="en-US"/>
        </w:rPr>
        <w:t>0</w:t>
      </w:r>
      <w:r w:rsidR="00964C5C" w:rsidRPr="00964C5C">
        <w:rPr>
          <w:rFonts w:eastAsia="Times New Roman"/>
          <w:b/>
          <w:bCs/>
          <w:lang w:eastAsia="en-US"/>
        </w:rPr>
        <w:t xml:space="preserve"> pkt)</w:t>
      </w:r>
      <w:r w:rsidR="00964C5C">
        <w:rPr>
          <w:rFonts w:eastAsia="Times New Roman"/>
          <w:lang w:eastAsia="en-US"/>
        </w:rPr>
        <w:t xml:space="preserve"> </w:t>
      </w:r>
      <w:r w:rsidRPr="006166AA">
        <w:rPr>
          <w:rFonts w:eastAsia="Times New Roman"/>
          <w:lang w:eastAsia="en-US"/>
        </w:rPr>
        <w:t>- liczba godzin rozwojowych wymaganych umową to 1000</w:t>
      </w:r>
      <w:r w:rsidR="00E235FF">
        <w:rPr>
          <w:rFonts w:eastAsia="Times New Roman"/>
          <w:lang w:eastAsia="en-US"/>
        </w:rPr>
        <w:t xml:space="preserve"> godzin</w:t>
      </w:r>
      <w:r w:rsidRPr="006166AA">
        <w:rPr>
          <w:rFonts w:eastAsia="Times New Roman"/>
          <w:lang w:eastAsia="en-US"/>
        </w:rPr>
        <w:t xml:space="preserve">, za każde dodatkowe </w:t>
      </w:r>
      <w:r w:rsidR="004206ED">
        <w:rPr>
          <w:rFonts w:eastAsia="Times New Roman"/>
          <w:lang w:eastAsia="en-US"/>
        </w:rPr>
        <w:t>10</w:t>
      </w:r>
      <w:r w:rsidRPr="006166AA">
        <w:rPr>
          <w:rFonts w:eastAsia="Times New Roman"/>
          <w:lang w:eastAsia="en-US"/>
        </w:rPr>
        <w:t xml:space="preserve">0 godzin + 1 pkt, maksimum </w:t>
      </w:r>
      <w:r w:rsidR="004206ED">
        <w:rPr>
          <w:rFonts w:eastAsia="Times New Roman"/>
          <w:lang w:eastAsia="en-US"/>
        </w:rPr>
        <w:t>1</w:t>
      </w:r>
      <w:r w:rsidR="008454D1">
        <w:rPr>
          <w:rFonts w:eastAsia="Times New Roman"/>
          <w:lang w:eastAsia="en-US"/>
        </w:rPr>
        <w:t>0</w:t>
      </w:r>
      <w:r w:rsidRPr="006166AA">
        <w:rPr>
          <w:rFonts w:eastAsia="Times New Roman"/>
          <w:lang w:eastAsia="en-US"/>
        </w:rPr>
        <w:t xml:space="preserve"> pkt</w:t>
      </w:r>
      <w:r>
        <w:rPr>
          <w:rFonts w:eastAsia="Times New Roman"/>
          <w:lang w:eastAsia="en-US"/>
        </w:rPr>
        <w:t xml:space="preserve"> przy zaoferowaniu 2.</w:t>
      </w:r>
      <w:r w:rsidR="008454D1">
        <w:rPr>
          <w:rFonts w:eastAsia="Times New Roman"/>
          <w:lang w:eastAsia="en-US"/>
        </w:rPr>
        <w:t>0</w:t>
      </w:r>
      <w:r>
        <w:rPr>
          <w:rFonts w:eastAsia="Times New Roman"/>
          <w:lang w:eastAsia="en-US"/>
        </w:rPr>
        <w:t xml:space="preserve">00 </w:t>
      </w:r>
      <w:r w:rsidR="003C3EFB">
        <w:rPr>
          <w:rFonts w:eastAsia="Times New Roman"/>
          <w:lang w:eastAsia="en-US"/>
        </w:rPr>
        <w:t>i</w:t>
      </w:r>
      <w:r w:rsidR="00E4526B">
        <w:rPr>
          <w:rFonts w:eastAsia="Times New Roman"/>
          <w:lang w:eastAsia="en-US"/>
        </w:rPr>
        <w:t> </w:t>
      </w:r>
      <w:r w:rsidR="003C3EFB">
        <w:rPr>
          <w:rFonts w:eastAsia="Times New Roman"/>
          <w:lang w:eastAsia="en-US"/>
        </w:rPr>
        <w:t xml:space="preserve">więcej </w:t>
      </w:r>
      <w:r>
        <w:rPr>
          <w:rFonts w:eastAsia="Times New Roman"/>
          <w:lang w:eastAsia="en-US"/>
        </w:rPr>
        <w:t>godzin rozwojowych</w:t>
      </w:r>
      <w:r w:rsidR="00E235FF">
        <w:rPr>
          <w:rFonts w:eastAsia="Times New Roman"/>
          <w:lang w:eastAsia="en-US"/>
        </w:rPr>
        <w:t>.</w:t>
      </w:r>
    </w:p>
    <w:p w14:paraId="236CEE48" w14:textId="77777777" w:rsidR="00800C42" w:rsidRDefault="00800C42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5B2DDF38">
        <w:rPr>
          <w:rFonts w:eastAsia="Times New Roman"/>
          <w:b/>
          <w:bCs/>
          <w:lang w:eastAsia="en-US"/>
        </w:rPr>
        <w:t>Sposób zasilania systemu w pojazdach w celu zapewnienia podtrzymania pracy po wyłączeniu stacyjki pojazdu – 5% (5 pkt)</w:t>
      </w:r>
      <w:r w:rsidRPr="5B2DDF38">
        <w:rPr>
          <w:rFonts w:eastAsia="Times New Roman"/>
          <w:lang w:eastAsia="en-US"/>
        </w:rPr>
        <w:t>:</w:t>
      </w:r>
    </w:p>
    <w:p w14:paraId="06666FB0" w14:textId="20415D70" w:rsidR="00DD79B4" w:rsidRDefault="00DD79B4" w:rsidP="008C619B">
      <w:pPr>
        <w:pStyle w:val="Akapitzlist"/>
        <w:numPr>
          <w:ilvl w:val="0"/>
          <w:numId w:val="9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Zasilanie z akumulatora pojazdu (podpięcie systemu poza stacyjką</w:t>
      </w:r>
      <w:r w:rsidR="00E4526B">
        <w:rPr>
          <w:rFonts w:eastAsia="Times New Roman"/>
          <w:lang w:eastAsia="en-US"/>
        </w:rPr>
        <w:t>)</w:t>
      </w:r>
      <w:r>
        <w:rPr>
          <w:rFonts w:eastAsia="Times New Roman"/>
          <w:lang w:eastAsia="en-US"/>
        </w:rPr>
        <w:t xml:space="preserve"> – 0 pkt.</w:t>
      </w:r>
    </w:p>
    <w:p w14:paraId="40B29DC3" w14:textId="540BD9F1" w:rsidR="00DD79B4" w:rsidRDefault="00DD79B4" w:rsidP="008C619B">
      <w:pPr>
        <w:pStyle w:val="Akapitzlist"/>
        <w:numPr>
          <w:ilvl w:val="0"/>
          <w:numId w:val="9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Zasilanie z zewnętrznego akumulatora Wykonawcy zintegrowanego z jednostką centralną – </w:t>
      </w:r>
      <w:r w:rsidR="00FA085A">
        <w:rPr>
          <w:rFonts w:eastAsia="Times New Roman"/>
          <w:lang w:eastAsia="en-US"/>
        </w:rPr>
        <w:t>4</w:t>
      </w:r>
      <w:r>
        <w:rPr>
          <w:rFonts w:eastAsia="Times New Roman"/>
          <w:lang w:eastAsia="en-US"/>
        </w:rPr>
        <w:t xml:space="preserve"> pkt.</w:t>
      </w:r>
    </w:p>
    <w:p w14:paraId="3670C2F4" w14:textId="4A4F0079" w:rsidR="00DD79B4" w:rsidRPr="00DD79B4" w:rsidRDefault="00095A2C" w:rsidP="008C619B">
      <w:pPr>
        <w:pStyle w:val="Akapitzlist"/>
        <w:numPr>
          <w:ilvl w:val="0"/>
          <w:numId w:val="9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Zasilanie z akumulatora zabudowanego w jednostce centralnej – 5 pkt</w:t>
      </w:r>
      <w:r w:rsidR="00DD79B4">
        <w:rPr>
          <w:rFonts w:eastAsia="Times New Roman"/>
          <w:lang w:eastAsia="en-US"/>
        </w:rPr>
        <w:t>.</w:t>
      </w:r>
    </w:p>
    <w:p w14:paraId="599B996F" w14:textId="6D7E30A1" w:rsidR="005F23AA" w:rsidRPr="005F23AA" w:rsidRDefault="00800C42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5B2DDF38">
        <w:rPr>
          <w:rFonts w:eastAsia="Times New Roman"/>
          <w:b/>
          <w:bCs/>
          <w:lang w:eastAsia="en-US"/>
        </w:rPr>
        <w:t xml:space="preserve">Parametry jednostki centralnej w pojazdach – </w:t>
      </w:r>
      <w:r w:rsidR="008454D1">
        <w:rPr>
          <w:rFonts w:eastAsia="Times New Roman"/>
          <w:b/>
          <w:bCs/>
          <w:lang w:eastAsia="en-US"/>
        </w:rPr>
        <w:t>4</w:t>
      </w:r>
      <w:r w:rsidRPr="5B2DDF38">
        <w:rPr>
          <w:rFonts w:eastAsia="Times New Roman"/>
          <w:b/>
          <w:bCs/>
          <w:lang w:eastAsia="en-US"/>
        </w:rPr>
        <w:t xml:space="preserve">% </w:t>
      </w:r>
      <w:r w:rsidRPr="5B2DDF38">
        <w:rPr>
          <w:rFonts w:eastAsia="Times New Roman"/>
          <w:lang w:eastAsia="en-US"/>
        </w:rPr>
        <w:t>(</w:t>
      </w:r>
      <w:r w:rsidR="008454D1">
        <w:rPr>
          <w:rFonts w:eastAsia="Times New Roman"/>
          <w:b/>
          <w:bCs/>
          <w:lang w:eastAsia="en-US"/>
        </w:rPr>
        <w:t>4</w:t>
      </w:r>
      <w:r w:rsidRPr="5B2DDF38">
        <w:rPr>
          <w:rFonts w:eastAsia="Times New Roman"/>
          <w:b/>
          <w:bCs/>
          <w:lang w:eastAsia="en-US"/>
        </w:rPr>
        <w:t xml:space="preserve"> pkt</w:t>
      </w:r>
      <w:r w:rsidRPr="5B2DDF38">
        <w:rPr>
          <w:rFonts w:eastAsia="Times New Roman"/>
          <w:lang w:eastAsia="en-US"/>
        </w:rPr>
        <w:t xml:space="preserve"> - punkty będą przyznawane za nw. pozycje)</w:t>
      </w:r>
      <w:r w:rsidR="005F23AA" w:rsidRPr="005F23AA">
        <w:rPr>
          <w:rFonts w:eastAsia="Times New Roman"/>
          <w:b/>
          <w:bCs/>
          <w:lang w:eastAsia="en-US"/>
        </w:rPr>
        <w:t>:</w:t>
      </w:r>
    </w:p>
    <w:p w14:paraId="2D949BFB" w14:textId="644AA64E" w:rsidR="005F23AA" w:rsidRDefault="005F23AA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Wymagany procesor – </w:t>
      </w:r>
      <w:r w:rsidR="00E4526B">
        <w:rPr>
          <w:rFonts w:eastAsia="Times New Roman"/>
          <w:lang w:eastAsia="en-US"/>
        </w:rPr>
        <w:t xml:space="preserve">(wymagany co najmniej 1 GHz) – zaproponowanie </w:t>
      </w:r>
      <w:r w:rsidR="00163AFA">
        <w:rPr>
          <w:rFonts w:eastAsia="Times New Roman"/>
          <w:lang w:eastAsia="en-US"/>
        </w:rPr>
        <w:t>taktowani</w:t>
      </w:r>
      <w:r w:rsidR="00E4526B">
        <w:rPr>
          <w:rFonts w:eastAsia="Times New Roman"/>
          <w:lang w:eastAsia="en-US"/>
        </w:rPr>
        <w:t>a</w:t>
      </w:r>
      <w:r w:rsidR="00095A2C">
        <w:rPr>
          <w:rFonts w:eastAsia="Times New Roman"/>
          <w:lang w:eastAsia="en-US"/>
        </w:rPr>
        <w:t xml:space="preserve"> do</w:t>
      </w:r>
      <w:r w:rsidR="00163AFA">
        <w:rPr>
          <w:rFonts w:eastAsia="Times New Roman"/>
          <w:lang w:eastAsia="en-US"/>
        </w:rPr>
        <w:t xml:space="preserve"> </w:t>
      </w:r>
      <w:r w:rsidR="005F0410">
        <w:rPr>
          <w:rFonts w:eastAsia="Times New Roman"/>
          <w:lang w:eastAsia="en-US"/>
        </w:rPr>
        <w:t>1</w:t>
      </w:r>
      <w:r w:rsidR="00095A2C">
        <w:rPr>
          <w:rFonts w:eastAsia="Times New Roman"/>
          <w:lang w:eastAsia="en-US"/>
        </w:rPr>
        <w:t>,2</w:t>
      </w:r>
      <w:r w:rsidR="005F0410">
        <w:rPr>
          <w:rFonts w:eastAsia="Times New Roman"/>
          <w:lang w:eastAsia="en-US"/>
        </w:rPr>
        <w:t xml:space="preserve"> GHz</w:t>
      </w:r>
      <w:r w:rsidR="003C3EFB">
        <w:rPr>
          <w:rFonts w:eastAsia="Times New Roman"/>
          <w:lang w:eastAsia="en-US"/>
        </w:rPr>
        <w:t xml:space="preserve"> (</w:t>
      </w:r>
      <w:r w:rsidR="000F237A">
        <w:rPr>
          <w:rFonts w:eastAsia="Times New Roman"/>
          <w:lang w:eastAsia="en-US"/>
        </w:rPr>
        <w:t xml:space="preserve">0 </w:t>
      </w:r>
      <w:r w:rsidR="003C3EFB">
        <w:rPr>
          <w:rFonts w:eastAsia="Times New Roman"/>
          <w:lang w:eastAsia="en-US"/>
        </w:rPr>
        <w:t>pkt)</w:t>
      </w:r>
      <w:r>
        <w:rPr>
          <w:rFonts w:eastAsia="Times New Roman"/>
          <w:lang w:eastAsia="en-US"/>
        </w:rPr>
        <w:t>, zaproponowanie 1</w:t>
      </w:r>
      <w:r w:rsidR="005F0410">
        <w:rPr>
          <w:rFonts w:eastAsia="Times New Roman"/>
          <w:lang w:eastAsia="en-US"/>
        </w:rPr>
        <w:t>,2</w:t>
      </w:r>
      <w:r>
        <w:rPr>
          <w:rFonts w:eastAsia="Times New Roman"/>
          <w:lang w:eastAsia="en-US"/>
        </w:rPr>
        <w:t xml:space="preserve"> GHz lub wyższ</w:t>
      </w:r>
      <w:r w:rsidR="00E4526B">
        <w:rPr>
          <w:rFonts w:eastAsia="Times New Roman"/>
          <w:lang w:eastAsia="en-US"/>
        </w:rPr>
        <w:t>ego</w:t>
      </w:r>
      <w:r w:rsidR="00EF37C2">
        <w:rPr>
          <w:rFonts w:eastAsia="Times New Roman"/>
          <w:lang w:eastAsia="en-US"/>
        </w:rPr>
        <w:t xml:space="preserve"> – </w:t>
      </w:r>
      <w:r w:rsidR="00DD79B4">
        <w:rPr>
          <w:rFonts w:eastAsia="Times New Roman"/>
          <w:lang w:eastAsia="en-US"/>
        </w:rPr>
        <w:t>0,5</w:t>
      </w:r>
      <w:r w:rsidR="00EF37C2">
        <w:rPr>
          <w:rFonts w:eastAsia="Times New Roman"/>
          <w:lang w:eastAsia="en-US"/>
        </w:rPr>
        <w:t xml:space="preserve"> pkt</w:t>
      </w:r>
    </w:p>
    <w:p w14:paraId="69DA6166" w14:textId="73B5BFF0" w:rsidR="00163AFA" w:rsidRDefault="00163AFA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Wymagana liczba rdzeni </w:t>
      </w:r>
      <w:r w:rsidR="00E235FF">
        <w:rPr>
          <w:rFonts w:eastAsia="Times New Roman"/>
          <w:lang w:eastAsia="en-US"/>
        </w:rPr>
        <w:t xml:space="preserve">procesora </w:t>
      </w:r>
      <w:r>
        <w:rPr>
          <w:rFonts w:eastAsia="Times New Roman"/>
          <w:lang w:eastAsia="en-US"/>
        </w:rPr>
        <w:t>– 2</w:t>
      </w:r>
      <w:r w:rsidR="00095A2C">
        <w:rPr>
          <w:rFonts w:eastAsia="Times New Roman"/>
          <w:lang w:eastAsia="en-US"/>
        </w:rPr>
        <w:t xml:space="preserve"> (0 pkt)</w:t>
      </w:r>
      <w:r>
        <w:rPr>
          <w:rFonts w:eastAsia="Times New Roman"/>
          <w:lang w:eastAsia="en-US"/>
        </w:rPr>
        <w:t xml:space="preserve">, zaoferowanie procesora 4 rdzeniowego </w:t>
      </w:r>
      <w:r w:rsidR="00095A2C">
        <w:rPr>
          <w:rFonts w:eastAsia="Times New Roman"/>
          <w:lang w:eastAsia="en-US"/>
        </w:rPr>
        <w:t xml:space="preserve">lub więcej </w:t>
      </w:r>
      <w:r>
        <w:rPr>
          <w:rFonts w:eastAsia="Times New Roman"/>
          <w:lang w:eastAsia="en-US"/>
        </w:rPr>
        <w:t xml:space="preserve">– </w:t>
      </w:r>
      <w:r w:rsidR="0010594C">
        <w:rPr>
          <w:rFonts w:eastAsia="Times New Roman"/>
          <w:lang w:eastAsia="en-US"/>
        </w:rPr>
        <w:t>0,5</w:t>
      </w:r>
      <w:r>
        <w:rPr>
          <w:rFonts w:eastAsia="Times New Roman"/>
          <w:lang w:eastAsia="en-US"/>
        </w:rPr>
        <w:t xml:space="preserve"> pkt</w:t>
      </w:r>
    </w:p>
    <w:p w14:paraId="1BB35AB1" w14:textId="7A96F9E6" w:rsidR="00163AFA" w:rsidRDefault="00163AFA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Procesor – wymagany 32 bitowy</w:t>
      </w:r>
      <w:r w:rsidR="00095A2C">
        <w:rPr>
          <w:rFonts w:eastAsia="Times New Roman"/>
          <w:lang w:eastAsia="en-US"/>
        </w:rPr>
        <w:t xml:space="preserve"> (0 pkt)</w:t>
      </w:r>
      <w:r>
        <w:rPr>
          <w:rFonts w:eastAsia="Times New Roman"/>
          <w:lang w:eastAsia="en-US"/>
        </w:rPr>
        <w:t xml:space="preserve">, zaproponowanie 64 bitowego – </w:t>
      </w:r>
      <w:r w:rsidR="00FA085A">
        <w:rPr>
          <w:rFonts w:eastAsia="Times New Roman"/>
          <w:lang w:eastAsia="en-US"/>
        </w:rPr>
        <w:t>0,5</w:t>
      </w:r>
      <w:r>
        <w:rPr>
          <w:rFonts w:eastAsia="Times New Roman"/>
          <w:lang w:eastAsia="en-US"/>
        </w:rPr>
        <w:t xml:space="preserve"> pkt</w:t>
      </w:r>
    </w:p>
    <w:p w14:paraId="1D0511D5" w14:textId="013D6529" w:rsidR="005F23AA" w:rsidRDefault="005F23AA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Wymagana pamięć </w:t>
      </w:r>
      <w:r w:rsidR="00EF37C2">
        <w:rPr>
          <w:rFonts w:eastAsia="Times New Roman"/>
          <w:lang w:eastAsia="en-US"/>
        </w:rPr>
        <w:t>RAM – typ DDR2</w:t>
      </w:r>
      <w:r w:rsidR="00095A2C">
        <w:rPr>
          <w:rFonts w:eastAsia="Times New Roman"/>
          <w:lang w:eastAsia="en-US"/>
        </w:rPr>
        <w:t xml:space="preserve"> (0 pkt)</w:t>
      </w:r>
      <w:r w:rsidR="00EF37C2">
        <w:rPr>
          <w:rFonts w:eastAsia="Times New Roman"/>
          <w:lang w:eastAsia="en-US"/>
        </w:rPr>
        <w:t xml:space="preserve">, w przypadku zaproponowania typu DDR3 – </w:t>
      </w:r>
      <w:r w:rsidR="0010594C">
        <w:rPr>
          <w:rFonts w:eastAsia="Times New Roman"/>
          <w:lang w:eastAsia="en-US"/>
        </w:rPr>
        <w:t>0,</w:t>
      </w:r>
      <w:r w:rsidR="00143DB4">
        <w:rPr>
          <w:rFonts w:eastAsia="Times New Roman"/>
          <w:lang w:eastAsia="en-US"/>
        </w:rPr>
        <w:t>5</w:t>
      </w:r>
      <w:r w:rsidR="00EF37C2">
        <w:rPr>
          <w:rFonts w:eastAsia="Times New Roman"/>
          <w:lang w:eastAsia="en-US"/>
        </w:rPr>
        <w:t xml:space="preserve"> pkt</w:t>
      </w:r>
    </w:p>
    <w:p w14:paraId="12225631" w14:textId="74025A04" w:rsidR="005F0410" w:rsidRDefault="005F0410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Pojemność pamięci RAM – wymagane 1 GB</w:t>
      </w:r>
      <w:r w:rsidR="00095A2C">
        <w:rPr>
          <w:rFonts w:eastAsia="Times New Roman"/>
          <w:lang w:eastAsia="en-US"/>
        </w:rPr>
        <w:t xml:space="preserve"> (0 pkt)</w:t>
      </w:r>
      <w:r>
        <w:rPr>
          <w:rFonts w:eastAsia="Times New Roman"/>
          <w:lang w:eastAsia="en-US"/>
        </w:rPr>
        <w:t xml:space="preserve">, w przypadku 2 GB </w:t>
      </w:r>
      <w:r w:rsidR="00095A2C">
        <w:rPr>
          <w:rFonts w:eastAsia="Times New Roman"/>
          <w:lang w:eastAsia="en-US"/>
        </w:rPr>
        <w:t xml:space="preserve">lub więcej </w:t>
      </w:r>
      <w:r>
        <w:rPr>
          <w:rFonts w:eastAsia="Times New Roman"/>
          <w:lang w:eastAsia="en-US"/>
        </w:rPr>
        <w:t xml:space="preserve">– </w:t>
      </w:r>
      <w:r w:rsidR="0010594C">
        <w:rPr>
          <w:rFonts w:eastAsia="Times New Roman"/>
          <w:lang w:eastAsia="en-US"/>
        </w:rPr>
        <w:t>0,5</w:t>
      </w:r>
      <w:r>
        <w:rPr>
          <w:rFonts w:eastAsia="Times New Roman"/>
          <w:lang w:eastAsia="en-US"/>
        </w:rPr>
        <w:t xml:space="preserve"> pkt</w:t>
      </w:r>
    </w:p>
    <w:p w14:paraId="7732246A" w14:textId="1125A059" w:rsidR="00EF37C2" w:rsidRDefault="00EF37C2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Wymagana pamięć Flash – 4 GB</w:t>
      </w:r>
      <w:r w:rsidR="00095A2C">
        <w:rPr>
          <w:rFonts w:eastAsia="Times New Roman"/>
          <w:lang w:eastAsia="en-US"/>
        </w:rPr>
        <w:t xml:space="preserve"> (0 pkt)</w:t>
      </w:r>
      <w:r>
        <w:rPr>
          <w:rFonts w:eastAsia="Times New Roman"/>
          <w:lang w:eastAsia="en-US"/>
        </w:rPr>
        <w:t xml:space="preserve">, w przypadku zaproponowania 8 GB </w:t>
      </w:r>
      <w:r w:rsidR="008454D1">
        <w:rPr>
          <w:rFonts w:eastAsia="Times New Roman"/>
          <w:lang w:eastAsia="en-US"/>
        </w:rPr>
        <w:t>–</w:t>
      </w:r>
      <w:r w:rsidR="00FA085A">
        <w:rPr>
          <w:rFonts w:eastAsia="Times New Roman"/>
          <w:lang w:eastAsia="en-US"/>
        </w:rPr>
        <w:t xml:space="preserve"> </w:t>
      </w:r>
      <w:r w:rsidR="008454D1">
        <w:rPr>
          <w:rFonts w:eastAsia="Times New Roman"/>
          <w:lang w:eastAsia="en-US"/>
        </w:rPr>
        <w:t>0,5</w:t>
      </w:r>
      <w:r>
        <w:rPr>
          <w:rFonts w:eastAsia="Times New Roman"/>
          <w:lang w:eastAsia="en-US"/>
        </w:rPr>
        <w:t xml:space="preserve"> pkt</w:t>
      </w:r>
      <w:r w:rsidR="00FA085A">
        <w:rPr>
          <w:rFonts w:eastAsia="Times New Roman"/>
          <w:lang w:eastAsia="en-US"/>
        </w:rPr>
        <w:t xml:space="preserve">, w przypadku zaproponowania 16 GB lub więcej – </w:t>
      </w:r>
      <w:r w:rsidR="00143DB4">
        <w:rPr>
          <w:rFonts w:eastAsia="Times New Roman"/>
          <w:lang w:eastAsia="en-US"/>
        </w:rPr>
        <w:t>1</w:t>
      </w:r>
      <w:r w:rsidR="00FA085A">
        <w:rPr>
          <w:rFonts w:eastAsia="Times New Roman"/>
          <w:lang w:eastAsia="en-US"/>
        </w:rPr>
        <w:t xml:space="preserve"> pkt</w:t>
      </w:r>
    </w:p>
    <w:p w14:paraId="05B137F4" w14:textId="6B76D22C" w:rsidR="00DD79B4" w:rsidRPr="0010594C" w:rsidRDefault="00DD79B4" w:rsidP="008C619B">
      <w:pPr>
        <w:pStyle w:val="Akapitzlist"/>
        <w:numPr>
          <w:ilvl w:val="0"/>
          <w:numId w:val="8"/>
        </w:numPr>
        <w:ind w:left="993" w:hanging="426"/>
        <w:jc w:val="both"/>
        <w:rPr>
          <w:rFonts w:eastAsia="Times New Roman"/>
          <w:lang w:eastAsia="en-US"/>
        </w:rPr>
      </w:pPr>
      <w:r w:rsidRPr="0010594C">
        <w:rPr>
          <w:rFonts w:eastAsia="Times New Roman"/>
          <w:lang w:eastAsia="en-US"/>
        </w:rPr>
        <w:t xml:space="preserve">Moduł komunikacyjny (GPS i GSM) zabudowany w jednostce centralnej – </w:t>
      </w:r>
      <w:r w:rsidR="00E4526B" w:rsidRPr="0010594C">
        <w:rPr>
          <w:rFonts w:eastAsia="Times New Roman"/>
          <w:lang w:eastAsia="en-US"/>
        </w:rPr>
        <w:t>osobny element 0 pkt</w:t>
      </w:r>
      <w:r w:rsidR="00E4526B">
        <w:rPr>
          <w:rFonts w:eastAsia="Times New Roman"/>
          <w:lang w:eastAsia="en-US"/>
        </w:rPr>
        <w:t xml:space="preserve">, jeśli </w:t>
      </w:r>
      <w:r w:rsidR="00E235FF">
        <w:rPr>
          <w:rFonts w:eastAsia="Times New Roman"/>
          <w:lang w:eastAsia="en-US"/>
        </w:rPr>
        <w:t xml:space="preserve">moduły </w:t>
      </w:r>
      <w:r w:rsidR="00E4526B">
        <w:rPr>
          <w:rFonts w:eastAsia="Times New Roman"/>
          <w:lang w:eastAsia="en-US"/>
        </w:rPr>
        <w:t>zabudowan</w:t>
      </w:r>
      <w:r w:rsidR="00E235FF">
        <w:rPr>
          <w:rFonts w:eastAsia="Times New Roman"/>
          <w:lang w:eastAsia="en-US"/>
        </w:rPr>
        <w:t>e w jednostce centralnej</w:t>
      </w:r>
      <w:r w:rsidR="00E4526B">
        <w:rPr>
          <w:rFonts w:eastAsia="Times New Roman"/>
          <w:lang w:eastAsia="en-US"/>
        </w:rPr>
        <w:t xml:space="preserve"> to</w:t>
      </w:r>
      <w:r w:rsidRPr="0010594C">
        <w:rPr>
          <w:rFonts w:eastAsia="Times New Roman"/>
          <w:lang w:eastAsia="en-US"/>
        </w:rPr>
        <w:t xml:space="preserve"> – </w:t>
      </w:r>
      <w:r w:rsidR="008454D1">
        <w:rPr>
          <w:rFonts w:eastAsia="Times New Roman"/>
          <w:lang w:eastAsia="en-US"/>
        </w:rPr>
        <w:t>0,5</w:t>
      </w:r>
      <w:r w:rsidRPr="0010594C">
        <w:rPr>
          <w:rFonts w:eastAsia="Times New Roman"/>
          <w:lang w:eastAsia="en-US"/>
        </w:rPr>
        <w:t xml:space="preserve"> pkt (</w:t>
      </w:r>
      <w:r w:rsidR="00095A2C" w:rsidRPr="0010594C">
        <w:rPr>
          <w:rFonts w:eastAsia="Times New Roman"/>
          <w:lang w:eastAsia="en-US"/>
        </w:rPr>
        <w:t>w</w:t>
      </w:r>
      <w:r w:rsidR="00E235FF">
        <w:rPr>
          <w:rFonts w:eastAsia="Times New Roman"/>
          <w:lang w:eastAsia="en-US"/>
        </w:rPr>
        <w:t> </w:t>
      </w:r>
      <w:r w:rsidR="00095A2C" w:rsidRPr="0010594C">
        <w:rPr>
          <w:rFonts w:eastAsia="Times New Roman"/>
          <w:lang w:eastAsia="en-US"/>
        </w:rPr>
        <w:t xml:space="preserve">przypadku zaoferowania dwóch modemów </w:t>
      </w:r>
      <w:r w:rsidR="008454D1">
        <w:rPr>
          <w:rFonts w:eastAsia="Times New Roman"/>
          <w:lang w:eastAsia="en-US"/>
        </w:rPr>
        <w:t>GSM wymóg dotyczy obydwu modemów</w:t>
      </w:r>
      <w:r w:rsidRPr="0010594C">
        <w:rPr>
          <w:rFonts w:eastAsia="Times New Roman"/>
          <w:lang w:eastAsia="en-US"/>
        </w:rPr>
        <w:t>)</w:t>
      </w:r>
      <w:r w:rsidR="00E4526B">
        <w:rPr>
          <w:rFonts w:eastAsia="Times New Roman"/>
          <w:lang w:eastAsia="en-US"/>
        </w:rPr>
        <w:t>.</w:t>
      </w:r>
    </w:p>
    <w:p w14:paraId="05EAFE09" w14:textId="1F82DDC2" w:rsidR="00FA085A" w:rsidRPr="00532A75" w:rsidRDefault="00FA085A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00FA085A">
        <w:rPr>
          <w:rFonts w:eastAsia="Times New Roman"/>
          <w:b/>
          <w:bCs/>
          <w:lang w:eastAsia="en-US"/>
        </w:rPr>
        <w:t>Obsługiwane systemy pozycjonowania pojazdów – 2%</w:t>
      </w:r>
      <w:r w:rsidR="00964C5C">
        <w:rPr>
          <w:rFonts w:eastAsia="Times New Roman"/>
          <w:b/>
          <w:bCs/>
          <w:lang w:eastAsia="en-US"/>
        </w:rPr>
        <w:t xml:space="preserve"> (2 pkt)</w:t>
      </w:r>
    </w:p>
    <w:p w14:paraId="0F178499" w14:textId="0FE39AA3" w:rsidR="00FA085A" w:rsidRDefault="00FA085A" w:rsidP="008C619B">
      <w:pPr>
        <w:pStyle w:val="Akapitzlist"/>
        <w:numPr>
          <w:ilvl w:val="0"/>
          <w:numId w:val="10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Tylko system GPS </w:t>
      </w:r>
      <w:r w:rsidR="00E4526B">
        <w:rPr>
          <w:rFonts w:eastAsia="Times New Roman"/>
          <w:lang w:eastAsia="en-US"/>
        </w:rPr>
        <w:t xml:space="preserve">(wymagany umową) </w:t>
      </w:r>
      <w:r>
        <w:rPr>
          <w:rFonts w:eastAsia="Times New Roman"/>
          <w:lang w:eastAsia="en-US"/>
        </w:rPr>
        <w:t>– 0 pkt.</w:t>
      </w:r>
    </w:p>
    <w:p w14:paraId="7F5AF445" w14:textId="189D6C05" w:rsidR="00FA085A" w:rsidRPr="00FA085A" w:rsidRDefault="00FA085A" w:rsidP="008C619B">
      <w:pPr>
        <w:pStyle w:val="Akapitzlist"/>
        <w:numPr>
          <w:ilvl w:val="0"/>
          <w:numId w:val="10"/>
        </w:numPr>
        <w:ind w:left="993" w:hanging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Za każdy dodatkowy system</w:t>
      </w:r>
      <w:r w:rsidR="00E4526B">
        <w:rPr>
          <w:rFonts w:eastAsia="Times New Roman"/>
          <w:lang w:eastAsia="en-US"/>
        </w:rPr>
        <w:t xml:space="preserve"> pozycjonowania</w:t>
      </w:r>
      <w:r>
        <w:rPr>
          <w:rFonts w:eastAsia="Times New Roman"/>
          <w:lang w:eastAsia="en-US"/>
        </w:rPr>
        <w:t xml:space="preserve">: </w:t>
      </w:r>
      <w:proofErr w:type="spellStart"/>
      <w:r w:rsidR="00095A2C">
        <w:rPr>
          <w:rFonts w:eastAsia="Times New Roman"/>
          <w:lang w:eastAsia="en-US"/>
        </w:rPr>
        <w:t>Glonass</w:t>
      </w:r>
      <w:proofErr w:type="spellEnd"/>
      <w:r w:rsidR="00095A2C">
        <w:rPr>
          <w:rFonts w:eastAsia="Times New Roman"/>
          <w:lang w:eastAsia="en-US"/>
        </w:rPr>
        <w:t xml:space="preserve"> lub Galileo </w:t>
      </w:r>
      <w:r>
        <w:rPr>
          <w:rFonts w:eastAsia="Times New Roman"/>
          <w:lang w:eastAsia="en-US"/>
        </w:rPr>
        <w:t xml:space="preserve">- + 1 pkt </w:t>
      </w:r>
      <w:r w:rsidR="00E4526B">
        <w:rPr>
          <w:rFonts w:eastAsia="Times New Roman"/>
          <w:lang w:eastAsia="en-US"/>
        </w:rPr>
        <w:t xml:space="preserve">za każdy </w:t>
      </w:r>
      <w:r>
        <w:rPr>
          <w:rFonts w:eastAsia="Times New Roman"/>
          <w:lang w:eastAsia="en-US"/>
        </w:rPr>
        <w:t xml:space="preserve">(razem 2 pkt). </w:t>
      </w:r>
    </w:p>
    <w:p w14:paraId="5F0196F8" w14:textId="49CA0FD0" w:rsidR="0010594C" w:rsidRDefault="0010594C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 w:rsidRPr="00471ADB">
        <w:rPr>
          <w:rFonts w:eastAsia="Times New Roman"/>
          <w:b/>
          <w:bCs/>
          <w:lang w:eastAsia="en-US"/>
        </w:rPr>
        <w:t>Liczba kart SIM – 5%</w:t>
      </w:r>
      <w:r>
        <w:rPr>
          <w:rFonts w:eastAsia="Times New Roman"/>
          <w:lang w:eastAsia="en-US"/>
        </w:rPr>
        <w:t xml:space="preserve"> </w:t>
      </w:r>
      <w:r w:rsidR="00964C5C" w:rsidRPr="00964C5C">
        <w:rPr>
          <w:rFonts w:eastAsia="Times New Roman"/>
          <w:b/>
          <w:bCs/>
          <w:lang w:eastAsia="en-US"/>
        </w:rPr>
        <w:t>(5 pkt)</w:t>
      </w:r>
      <w:r w:rsidR="00964C5C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- wymagane zapewnienie łączności za pomocą 1 karty SIM </w:t>
      </w:r>
      <w:r w:rsidR="00AD2652">
        <w:rPr>
          <w:rFonts w:eastAsia="Times New Roman"/>
          <w:lang w:eastAsia="en-US"/>
        </w:rPr>
        <w:t>w </w:t>
      </w:r>
      <w:r>
        <w:rPr>
          <w:rFonts w:eastAsia="Times New Roman"/>
          <w:lang w:eastAsia="en-US"/>
        </w:rPr>
        <w:t>wydzielonym APN, w przypadku zapewnienia łączności za pomocą 2 kart</w:t>
      </w:r>
      <w:r w:rsidR="00E235FF">
        <w:rPr>
          <w:rFonts w:eastAsia="Times New Roman"/>
          <w:lang w:eastAsia="en-US"/>
        </w:rPr>
        <w:t xml:space="preserve"> SIM</w:t>
      </w:r>
      <w:r>
        <w:rPr>
          <w:rFonts w:eastAsia="Times New Roman"/>
          <w:lang w:eastAsia="en-US"/>
        </w:rPr>
        <w:t xml:space="preserve">, 2 różnych operatorów, nie powiązanych ze sobą, </w:t>
      </w:r>
      <w:r w:rsidR="00E235FF">
        <w:rPr>
          <w:rFonts w:eastAsia="Times New Roman"/>
          <w:lang w:eastAsia="en-US"/>
        </w:rPr>
        <w:t>z wykorzystaniem dwóch</w:t>
      </w:r>
      <w:r>
        <w:rPr>
          <w:rFonts w:eastAsia="Times New Roman"/>
          <w:lang w:eastAsia="en-US"/>
        </w:rPr>
        <w:t xml:space="preserve"> modem</w:t>
      </w:r>
      <w:r w:rsidR="00E235FF">
        <w:rPr>
          <w:rFonts w:eastAsia="Times New Roman"/>
          <w:lang w:eastAsia="en-US"/>
        </w:rPr>
        <w:t>ów</w:t>
      </w:r>
      <w:r>
        <w:rPr>
          <w:rFonts w:eastAsia="Times New Roman"/>
          <w:lang w:eastAsia="en-US"/>
        </w:rPr>
        <w:t xml:space="preserve"> + 5pkt</w:t>
      </w:r>
    </w:p>
    <w:p w14:paraId="0D3689F9" w14:textId="293E7BDE" w:rsidR="00163AFA" w:rsidRPr="0010594C" w:rsidRDefault="00DD79B4" w:rsidP="008C619B">
      <w:pPr>
        <w:pStyle w:val="Akapitzlist"/>
        <w:numPr>
          <w:ilvl w:val="0"/>
          <w:numId w:val="1"/>
        </w:numPr>
        <w:spacing w:before="40"/>
        <w:ind w:left="568" w:hanging="284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bCs/>
          <w:lang w:eastAsia="en-US"/>
        </w:rPr>
        <w:t xml:space="preserve">Sposób wykonywania </w:t>
      </w:r>
      <w:r w:rsidR="00601709">
        <w:rPr>
          <w:rFonts w:eastAsia="Times New Roman"/>
          <w:b/>
          <w:bCs/>
          <w:lang w:eastAsia="en-US"/>
        </w:rPr>
        <w:t xml:space="preserve">szablonów </w:t>
      </w:r>
      <w:r>
        <w:rPr>
          <w:rFonts w:eastAsia="Times New Roman"/>
          <w:b/>
          <w:bCs/>
          <w:lang w:eastAsia="en-US"/>
        </w:rPr>
        <w:t>raportów predefiniowanych</w:t>
      </w:r>
      <w:r w:rsidR="00163AFA" w:rsidRPr="00163AFA">
        <w:rPr>
          <w:rFonts w:eastAsia="Times New Roman"/>
          <w:b/>
          <w:bCs/>
          <w:lang w:eastAsia="en-US"/>
        </w:rPr>
        <w:t xml:space="preserve"> – </w:t>
      </w:r>
      <w:r w:rsidR="008454D1">
        <w:rPr>
          <w:rFonts w:eastAsia="Times New Roman"/>
          <w:b/>
          <w:bCs/>
          <w:lang w:eastAsia="en-US"/>
        </w:rPr>
        <w:t>4</w:t>
      </w:r>
      <w:r w:rsidR="00163AFA" w:rsidRPr="00163AFA">
        <w:rPr>
          <w:rFonts w:eastAsia="Times New Roman"/>
          <w:b/>
          <w:bCs/>
          <w:lang w:eastAsia="en-US"/>
        </w:rPr>
        <w:t>%</w:t>
      </w:r>
      <w:r w:rsidR="00964C5C">
        <w:rPr>
          <w:rFonts w:eastAsia="Times New Roman"/>
          <w:b/>
          <w:bCs/>
          <w:lang w:eastAsia="en-US"/>
        </w:rPr>
        <w:t xml:space="preserve"> (</w:t>
      </w:r>
      <w:r w:rsidR="008454D1">
        <w:rPr>
          <w:rFonts w:eastAsia="Times New Roman"/>
          <w:b/>
          <w:bCs/>
          <w:lang w:eastAsia="en-US"/>
        </w:rPr>
        <w:t>4</w:t>
      </w:r>
      <w:r w:rsidR="00964C5C">
        <w:rPr>
          <w:rFonts w:eastAsia="Times New Roman"/>
          <w:b/>
          <w:bCs/>
          <w:lang w:eastAsia="en-US"/>
        </w:rPr>
        <w:t xml:space="preserve"> pkt)</w:t>
      </w:r>
    </w:p>
    <w:p w14:paraId="00593C8E" w14:textId="489E04E1" w:rsidR="00163AFA" w:rsidRPr="00964C5C" w:rsidRDefault="00DD79B4" w:rsidP="008C619B">
      <w:pPr>
        <w:pStyle w:val="Akapitzlist"/>
        <w:numPr>
          <w:ilvl w:val="0"/>
          <w:numId w:val="11"/>
        </w:numPr>
        <w:ind w:left="993" w:hanging="426"/>
        <w:jc w:val="both"/>
        <w:rPr>
          <w:rFonts w:eastAsia="Times New Roman"/>
          <w:lang w:eastAsia="en-US"/>
        </w:rPr>
      </w:pPr>
      <w:r w:rsidRPr="00964C5C">
        <w:rPr>
          <w:rFonts w:eastAsia="Times New Roman"/>
          <w:lang w:eastAsia="en-US"/>
        </w:rPr>
        <w:t xml:space="preserve">Do wykonywania </w:t>
      </w:r>
      <w:r w:rsidR="00F43D54">
        <w:rPr>
          <w:rFonts w:eastAsia="Times New Roman"/>
          <w:lang w:eastAsia="en-US"/>
        </w:rPr>
        <w:t xml:space="preserve">szablonów </w:t>
      </w:r>
      <w:r w:rsidRPr="00964C5C">
        <w:rPr>
          <w:rFonts w:eastAsia="Times New Roman"/>
          <w:lang w:eastAsia="en-US"/>
        </w:rPr>
        <w:t xml:space="preserve">raportów wymagana jest </w:t>
      </w:r>
      <w:r w:rsidR="00601709">
        <w:rPr>
          <w:rFonts w:eastAsia="Times New Roman"/>
          <w:lang w:eastAsia="en-US"/>
        </w:rPr>
        <w:t>znajomość języka skryptowego</w:t>
      </w:r>
      <w:r w:rsidR="00F43D54">
        <w:rPr>
          <w:rFonts w:eastAsia="Times New Roman"/>
          <w:lang w:eastAsia="en-US"/>
        </w:rPr>
        <w:t xml:space="preserve"> (brak graficznego kreatora raportów)</w:t>
      </w:r>
      <w:r w:rsidR="00163AFA" w:rsidRPr="00964C5C">
        <w:rPr>
          <w:rFonts w:eastAsia="Times New Roman"/>
          <w:lang w:eastAsia="en-US"/>
        </w:rPr>
        <w:t xml:space="preserve"> </w:t>
      </w:r>
      <w:r w:rsidR="0010594C" w:rsidRPr="00964C5C">
        <w:rPr>
          <w:rFonts w:eastAsia="Times New Roman"/>
          <w:lang w:eastAsia="en-US"/>
        </w:rPr>
        <w:t xml:space="preserve">- </w:t>
      </w:r>
      <w:r w:rsidR="00163AFA" w:rsidRPr="00964C5C">
        <w:rPr>
          <w:rFonts w:eastAsia="Times New Roman"/>
          <w:lang w:eastAsia="en-US"/>
        </w:rPr>
        <w:t>0 pkt.</w:t>
      </w:r>
    </w:p>
    <w:p w14:paraId="19C04F66" w14:textId="54D0C072" w:rsidR="0010594C" w:rsidRPr="00964C5C" w:rsidRDefault="0010594C" w:rsidP="008C619B">
      <w:pPr>
        <w:pStyle w:val="Akapitzlist"/>
        <w:numPr>
          <w:ilvl w:val="0"/>
          <w:numId w:val="11"/>
        </w:numPr>
        <w:ind w:left="993" w:hanging="426"/>
        <w:jc w:val="both"/>
        <w:rPr>
          <w:rFonts w:eastAsia="Times New Roman"/>
          <w:lang w:eastAsia="en-US"/>
        </w:rPr>
      </w:pPr>
      <w:r w:rsidRPr="00964C5C">
        <w:rPr>
          <w:rFonts w:eastAsia="Times New Roman"/>
          <w:lang w:eastAsia="en-US"/>
        </w:rPr>
        <w:t xml:space="preserve">Do wykonywania </w:t>
      </w:r>
      <w:r w:rsidR="00F43D54">
        <w:rPr>
          <w:rFonts w:eastAsia="Times New Roman"/>
          <w:lang w:eastAsia="en-US"/>
        </w:rPr>
        <w:t xml:space="preserve">szablonów </w:t>
      </w:r>
      <w:r w:rsidR="0023214E">
        <w:rPr>
          <w:rFonts w:eastAsia="Times New Roman"/>
          <w:lang w:eastAsia="en-US"/>
        </w:rPr>
        <w:t xml:space="preserve">nowych </w:t>
      </w:r>
      <w:r w:rsidRPr="00964C5C">
        <w:rPr>
          <w:rFonts w:eastAsia="Times New Roman"/>
          <w:lang w:eastAsia="en-US"/>
        </w:rPr>
        <w:t xml:space="preserve">raportów zostanie dostarczony </w:t>
      </w:r>
      <w:r w:rsidR="00800C42" w:rsidRPr="00964C5C">
        <w:rPr>
          <w:rFonts w:eastAsia="Times New Roman"/>
          <w:lang w:eastAsia="en-US"/>
        </w:rPr>
        <w:t>graficzny</w:t>
      </w:r>
      <w:r w:rsidRPr="00964C5C">
        <w:rPr>
          <w:rFonts w:eastAsia="Times New Roman"/>
          <w:lang w:eastAsia="en-US"/>
        </w:rPr>
        <w:t xml:space="preserve"> </w:t>
      </w:r>
      <w:r w:rsidR="00F43D54">
        <w:rPr>
          <w:rFonts w:eastAsia="Times New Roman"/>
          <w:lang w:eastAsia="en-US"/>
        </w:rPr>
        <w:t xml:space="preserve">kreator raportów, </w:t>
      </w:r>
      <w:r w:rsidR="0023214E">
        <w:rPr>
          <w:rFonts w:eastAsia="Times New Roman"/>
          <w:lang w:eastAsia="en-US"/>
        </w:rPr>
        <w:t>zgodnie z wymogami zawartymi w OPZ</w:t>
      </w:r>
      <w:r w:rsidRPr="00964C5C">
        <w:rPr>
          <w:rFonts w:eastAsia="Times New Roman"/>
          <w:lang w:eastAsia="en-US"/>
        </w:rPr>
        <w:t xml:space="preserve"> – </w:t>
      </w:r>
      <w:r w:rsidR="008454D1">
        <w:rPr>
          <w:rFonts w:eastAsia="Times New Roman"/>
          <w:lang w:eastAsia="en-US"/>
        </w:rPr>
        <w:t>4</w:t>
      </w:r>
      <w:r w:rsidRPr="00964C5C">
        <w:rPr>
          <w:rFonts w:eastAsia="Times New Roman"/>
          <w:lang w:eastAsia="en-US"/>
        </w:rPr>
        <w:t xml:space="preserve"> pkt.</w:t>
      </w:r>
    </w:p>
    <w:p w14:paraId="621C8893" w14:textId="7D4406AA" w:rsidR="004C375D" w:rsidRDefault="005120F0" w:rsidP="0049709F">
      <w:pPr>
        <w:pStyle w:val="Akapitzlist"/>
        <w:numPr>
          <w:ilvl w:val="0"/>
          <w:numId w:val="2"/>
        </w:numPr>
        <w:spacing w:before="240" w:after="120"/>
        <w:ind w:left="284" w:hanging="284"/>
        <w:rPr>
          <w:b/>
          <w:bCs/>
        </w:rPr>
      </w:pPr>
      <w:r>
        <w:rPr>
          <w:b/>
          <w:bCs/>
        </w:rPr>
        <w:t>Termin realizacji umowy</w:t>
      </w:r>
    </w:p>
    <w:p w14:paraId="7A79A1F5" w14:textId="40A8D94F" w:rsidR="005120F0" w:rsidRDefault="005120F0" w:rsidP="005120F0">
      <w:pPr>
        <w:pStyle w:val="Akapitzlist"/>
        <w:numPr>
          <w:ilvl w:val="3"/>
          <w:numId w:val="1"/>
        </w:numPr>
        <w:ind w:left="567" w:hanging="283"/>
      </w:pPr>
      <w:r w:rsidRPr="005120F0">
        <w:t>Wdrożenie systemu – maksymalnie 30 tygodni</w:t>
      </w:r>
      <w:r>
        <w:t xml:space="preserve"> od dnia zawarcia umowy, możliwość zaoferowania przez Wykonawcę krótszego terminu zgodnie z punktem II.2.</w:t>
      </w:r>
    </w:p>
    <w:p w14:paraId="28A5895D" w14:textId="5968F832" w:rsidR="005120F0" w:rsidRDefault="005120F0" w:rsidP="005120F0">
      <w:pPr>
        <w:pStyle w:val="Akapitzlist"/>
        <w:numPr>
          <w:ilvl w:val="3"/>
          <w:numId w:val="1"/>
        </w:numPr>
        <w:ind w:left="567" w:hanging="283"/>
      </w:pPr>
      <w:r>
        <w:t xml:space="preserve">Utrzymanie systemu – 5 lat od daty podpisania </w:t>
      </w:r>
      <w:r w:rsidRPr="005120F0">
        <w:t>„Protokołu odbioru końcowego wdrożenia Systemu zliczania pasażerów (pierwszej części przedmiotu umowy)”</w:t>
      </w:r>
      <w:r>
        <w:t>.</w:t>
      </w:r>
    </w:p>
    <w:p w14:paraId="6F48440E" w14:textId="353C8E6A" w:rsidR="005120F0" w:rsidRDefault="005120F0" w:rsidP="0049709F">
      <w:pPr>
        <w:pStyle w:val="Akapitzlist"/>
        <w:numPr>
          <w:ilvl w:val="0"/>
          <w:numId w:val="2"/>
        </w:numPr>
        <w:spacing w:before="240" w:after="120"/>
        <w:ind w:left="284" w:hanging="284"/>
        <w:rPr>
          <w:b/>
          <w:bCs/>
        </w:rPr>
      </w:pPr>
      <w:r>
        <w:rPr>
          <w:b/>
          <w:bCs/>
        </w:rPr>
        <w:t>Prawo opcji</w:t>
      </w:r>
    </w:p>
    <w:p w14:paraId="10ABC8DE" w14:textId="611BB59C" w:rsidR="003E73FB" w:rsidRDefault="005120F0" w:rsidP="008C619B">
      <w:pPr>
        <w:pStyle w:val="Akapitzlist"/>
        <w:ind w:left="284"/>
        <w:jc w:val="both"/>
      </w:pPr>
      <w:r w:rsidRPr="005120F0">
        <w:t>Zamawiający zakłada, że w okresie utrzymania do Systemu mo</w:t>
      </w:r>
      <w:r w:rsidR="003E73FB">
        <w:t xml:space="preserve">gą być podpinane kolejne pojazdy. </w:t>
      </w:r>
    </w:p>
    <w:p w14:paraId="626FB92A" w14:textId="77777777" w:rsidR="003E73FB" w:rsidRDefault="005120F0" w:rsidP="003E73FB">
      <w:pPr>
        <w:pStyle w:val="Akapitzlist"/>
        <w:ind w:left="284"/>
        <w:jc w:val="both"/>
      </w:pPr>
      <w:r w:rsidRPr="005120F0">
        <w:t xml:space="preserve">Dla pojazdów podłączanych bezpośrednio do Systemu </w:t>
      </w:r>
      <w:r w:rsidR="003E73FB">
        <w:t xml:space="preserve">w prawie opcji planuje się zamówić dodatkowe </w:t>
      </w:r>
      <w:r w:rsidR="003E73FB" w:rsidRPr="005120F0">
        <w:t>kart</w:t>
      </w:r>
      <w:r w:rsidR="003E73FB">
        <w:t>y</w:t>
      </w:r>
      <w:r w:rsidR="003E73FB" w:rsidRPr="005120F0">
        <w:t xml:space="preserve"> SIM w wydzielonym (prywatnym) APN</w:t>
      </w:r>
      <w:r w:rsidR="003E73FB">
        <w:t xml:space="preserve"> (poza kartami dla 109 pojazdów w zamówieniu podstawowym) oraz </w:t>
      </w:r>
      <w:r w:rsidRPr="005120F0">
        <w:t>zwiększenie zasobów chmurowych z powodu zwiększonego wolumenu danych.</w:t>
      </w:r>
      <w:r w:rsidR="003E73FB">
        <w:t xml:space="preserve"> Zakłada się grupę do 1.000 pojazdów podłączanych w ten sposób do Systemu, dla których zostaną zamówione karty SIM oraz zwiększone zasoby chmurowe.</w:t>
      </w:r>
      <w:r w:rsidR="003E73FB" w:rsidRPr="003E73FB">
        <w:t xml:space="preserve"> </w:t>
      </w:r>
    </w:p>
    <w:p w14:paraId="1E5CA897" w14:textId="037EC48C" w:rsidR="005120F0" w:rsidRDefault="003E73FB" w:rsidP="003E73FB">
      <w:pPr>
        <w:pStyle w:val="Akapitzlist"/>
        <w:ind w:left="284"/>
        <w:jc w:val="both"/>
      </w:pPr>
      <w:r>
        <w:t>Uwaga: najprawdopodobniej pojazdów będzie ok. 500 i tyle skalkulowaliśmy do WPF i szacunku</w:t>
      </w:r>
    </w:p>
    <w:p w14:paraId="3DEFF2E7" w14:textId="31091342" w:rsidR="005120F0" w:rsidRDefault="005120F0" w:rsidP="0049709F">
      <w:pPr>
        <w:pStyle w:val="Akapitzlist"/>
        <w:numPr>
          <w:ilvl w:val="0"/>
          <w:numId w:val="2"/>
        </w:numPr>
        <w:spacing w:before="240" w:after="120"/>
        <w:ind w:left="284" w:hanging="284"/>
        <w:rPr>
          <w:b/>
          <w:bCs/>
        </w:rPr>
      </w:pPr>
      <w:r>
        <w:rPr>
          <w:b/>
          <w:bCs/>
        </w:rPr>
        <w:t>Gwarancja</w:t>
      </w:r>
    </w:p>
    <w:p w14:paraId="7BE206F5" w14:textId="467D373D" w:rsidR="0049709F" w:rsidRDefault="0049709F" w:rsidP="008C619B">
      <w:pPr>
        <w:pStyle w:val="Akapitzlist"/>
        <w:ind w:left="284"/>
      </w:pPr>
      <w:r>
        <w:t>Wymagana gwarancja – 5 lat (w całym okresie utrzymania, wskazanym w punkcie III.2</w:t>
      </w:r>
      <w:r w:rsidR="00FC1806">
        <w:t>).</w:t>
      </w:r>
    </w:p>
    <w:p w14:paraId="4CBCE704" w14:textId="77777777" w:rsidR="00C824F2" w:rsidRDefault="00C824F2" w:rsidP="008C619B">
      <w:pPr>
        <w:pStyle w:val="Akapitzlist"/>
        <w:ind w:left="284"/>
        <w:rPr>
          <w:b/>
          <w:bCs/>
        </w:rPr>
      </w:pPr>
    </w:p>
    <w:p w14:paraId="2B6268A7" w14:textId="0CC4FDCC" w:rsidR="0049709F" w:rsidRDefault="0049709F" w:rsidP="0049709F">
      <w:pPr>
        <w:pStyle w:val="Akapitzlist"/>
        <w:numPr>
          <w:ilvl w:val="0"/>
          <w:numId w:val="2"/>
        </w:numPr>
        <w:spacing w:before="240" w:after="120"/>
        <w:ind w:left="426" w:hanging="426"/>
        <w:rPr>
          <w:b/>
          <w:bCs/>
        </w:rPr>
      </w:pPr>
      <w:r>
        <w:rPr>
          <w:b/>
          <w:bCs/>
        </w:rPr>
        <w:lastRenderedPageBreak/>
        <w:t>Wadium</w:t>
      </w:r>
    </w:p>
    <w:p w14:paraId="7C493806" w14:textId="0C85DF6A" w:rsidR="0049709F" w:rsidRPr="0049709F" w:rsidRDefault="0049709F" w:rsidP="008C619B">
      <w:pPr>
        <w:pStyle w:val="Akapitzlist"/>
        <w:ind w:left="425"/>
      </w:pPr>
      <w:r w:rsidRPr="0049709F">
        <w:t>Nie wymagamy wadium</w:t>
      </w:r>
    </w:p>
    <w:p w14:paraId="445B016B" w14:textId="06D89338" w:rsidR="0049709F" w:rsidRDefault="0049709F" w:rsidP="0049709F">
      <w:pPr>
        <w:pStyle w:val="Akapitzlist"/>
        <w:numPr>
          <w:ilvl w:val="0"/>
          <w:numId w:val="2"/>
        </w:numPr>
        <w:spacing w:before="240" w:after="120"/>
        <w:ind w:left="426" w:hanging="426"/>
        <w:rPr>
          <w:b/>
          <w:bCs/>
        </w:rPr>
      </w:pPr>
      <w:r>
        <w:rPr>
          <w:b/>
          <w:bCs/>
        </w:rPr>
        <w:t>Zabezpieczenie należytego wykonania umowy</w:t>
      </w:r>
    </w:p>
    <w:p w14:paraId="1FC83A8E" w14:textId="4185194F" w:rsidR="008C619B" w:rsidRDefault="0049709F" w:rsidP="008C619B">
      <w:pPr>
        <w:pStyle w:val="Akapitzlist"/>
        <w:ind w:left="425"/>
      </w:pPr>
      <w:r w:rsidRPr="0049709F">
        <w:t>Wymagamy – w maksymalnej dopuszczalnej kwocie, czyli 5%</w:t>
      </w:r>
      <w:r w:rsidR="00FC1806">
        <w:t>.</w:t>
      </w:r>
    </w:p>
    <w:p w14:paraId="0A3930D8" w14:textId="1AC94863" w:rsidR="00C0216D" w:rsidRDefault="00C0216D" w:rsidP="0049709F">
      <w:pPr>
        <w:pStyle w:val="Akapitzlist"/>
        <w:numPr>
          <w:ilvl w:val="0"/>
          <w:numId w:val="2"/>
        </w:numPr>
        <w:spacing w:before="240" w:after="120"/>
        <w:ind w:left="426" w:hanging="426"/>
        <w:rPr>
          <w:b/>
          <w:bCs/>
        </w:rPr>
      </w:pPr>
      <w:r>
        <w:rPr>
          <w:b/>
          <w:bCs/>
        </w:rPr>
        <w:t>Ogólny opis przedmiotu zamówienia</w:t>
      </w:r>
    </w:p>
    <w:p w14:paraId="769011EF" w14:textId="77777777" w:rsidR="00C0216D" w:rsidRPr="00C0216D" w:rsidRDefault="00C0216D" w:rsidP="00C0216D">
      <w:pPr>
        <w:pStyle w:val="Akapitzlist"/>
        <w:ind w:left="425"/>
        <w:jc w:val="both"/>
      </w:pPr>
      <w:r w:rsidRPr="00C0216D">
        <w:t>Zamówienie systemu zliczania pasażerów (zwanego dalej Systemem) składa się z trzech części.</w:t>
      </w:r>
    </w:p>
    <w:p w14:paraId="65848C24" w14:textId="40BE48E4" w:rsidR="00C0216D" w:rsidRPr="00C0216D" w:rsidRDefault="00C0216D" w:rsidP="00C0216D">
      <w:pPr>
        <w:pStyle w:val="Akapitzlist"/>
        <w:ind w:left="425"/>
        <w:jc w:val="both"/>
      </w:pPr>
      <w:r w:rsidRPr="00C0216D">
        <w:t>Część pierwsza zamówienia obejmuje wdrożenie systemu, część druga utrzymanie, a część trzecia to zamówienie w prawie opcji</w:t>
      </w:r>
      <w:r>
        <w:t xml:space="preserve"> (w okresie utrzymania)</w:t>
      </w:r>
      <w:r w:rsidRPr="00C0216D">
        <w:t>. Celem nowego Systemu jest zintegrowanie dotychczasowych systemów zliczania, stosowanych przez operatorów realizujących obecnie przewozy na zlecenie Z</w:t>
      </w:r>
      <w:r w:rsidR="009731C5">
        <w:t xml:space="preserve">arządu </w:t>
      </w:r>
      <w:r w:rsidRPr="00C0216D">
        <w:t>T</w:t>
      </w:r>
      <w:r w:rsidR="009731C5">
        <w:t xml:space="preserve">ransportu </w:t>
      </w:r>
      <w:r w:rsidRPr="00C0216D">
        <w:t>M</w:t>
      </w:r>
      <w:r w:rsidR="009731C5">
        <w:t>etropolitalnego (ZTM)</w:t>
      </w:r>
      <w:r w:rsidRPr="00C0216D">
        <w:t>. Na wstępie System obejmie ok. 300 pojazdów, z czego w ramach zamówienia ma zostać wyposażonych w</w:t>
      </w:r>
      <w:r w:rsidR="009731C5">
        <w:t> </w:t>
      </w:r>
      <w:r w:rsidRPr="00C0216D">
        <w:t>sprzęt i przyłączonych do Systemu 109 pojazdów PKM Sosnowiec (z czego 95 w</w:t>
      </w:r>
      <w:r w:rsidR="009731C5">
        <w:t> </w:t>
      </w:r>
      <w:r w:rsidRPr="00C0216D">
        <w:t>ramach części pierwszej zamówienia, 14 w ramach części drugiej). Ponadto System ma zostać zintegrowany z</w:t>
      </w:r>
      <w:r w:rsidR="009731C5">
        <w:t> </w:t>
      </w:r>
      <w:r w:rsidRPr="00C0216D">
        <w:t>wdrażanym przez miasto Tychy Inteligentnym Systemem Zarządzania i</w:t>
      </w:r>
      <w:r w:rsidR="009731C5">
        <w:t> </w:t>
      </w:r>
      <w:r w:rsidRPr="00C0216D">
        <w:t>Sterowania Ruchem w</w:t>
      </w:r>
      <w:r w:rsidR="009731C5">
        <w:t> </w:t>
      </w:r>
      <w:r w:rsidRPr="00C0216D">
        <w:t>Tychach (zwanym dalej systemem ITS w Tychach), w celu pozyskiwania informacji z bramek liczących w kolejnych co najmniej 170 pojazdach PKM Tychy i TLT Tychy. Tym samym System po jego uruchomieniu będzie obsługiwał na wstępie do 300 pojazdów, jednakże musi umożliwiać jego rozszerzanie w okresie utrzymania w celu obsługi docelowo wszystkich pojazdów realizujących przewozy na zlecenie ZTM, które zostaną wyposażone w</w:t>
      </w:r>
      <w:r w:rsidR="009731C5">
        <w:t> </w:t>
      </w:r>
      <w:r w:rsidRPr="00C0216D">
        <w:t>odpowiedni sprzęt wraz z</w:t>
      </w:r>
      <w:r w:rsidR="009731C5">
        <w:t> </w:t>
      </w:r>
      <w:r w:rsidRPr="00C0216D">
        <w:t xml:space="preserve">oprogramowaniem i zostaną przyłączone do Systemu. Należy przyjąć, że pojazdy te będą realizować przewozy na terenie wszystkich 56 gmin, </w:t>
      </w:r>
      <w:r>
        <w:t>obsługiwanych przez ZTM</w:t>
      </w:r>
      <w:r w:rsidRPr="00C0216D">
        <w:t>. Należy również uwzględnić fakt, iż w okresie utrzymania systemu Zamawiający może rozpocząć realizację przewozów kolejowych taborem wyposażonym w bramki liczące, tym samym musi mieć możliwość obsługi danych również z</w:t>
      </w:r>
      <w:r>
        <w:t> </w:t>
      </w:r>
      <w:r w:rsidRPr="00C0216D">
        <w:t>taboru kolejowego.</w:t>
      </w:r>
    </w:p>
    <w:p w14:paraId="7E72AD03" w14:textId="5C19BE06" w:rsidR="009731C5" w:rsidRDefault="009731C5" w:rsidP="0049709F">
      <w:pPr>
        <w:pStyle w:val="Akapitzlist"/>
        <w:numPr>
          <w:ilvl w:val="0"/>
          <w:numId w:val="2"/>
        </w:numPr>
        <w:spacing w:before="240" w:after="120"/>
        <w:ind w:left="426" w:hanging="426"/>
        <w:rPr>
          <w:b/>
          <w:bCs/>
        </w:rPr>
      </w:pPr>
      <w:r>
        <w:rPr>
          <w:b/>
          <w:bCs/>
        </w:rPr>
        <w:t>Kody CPV</w:t>
      </w:r>
    </w:p>
    <w:p w14:paraId="00A27033" w14:textId="40ED2D68" w:rsidR="006115D5" w:rsidRDefault="006115D5" w:rsidP="0076112D">
      <w:pPr>
        <w:pStyle w:val="Akapitzlist"/>
        <w:spacing w:before="40"/>
        <w:ind w:left="567"/>
      </w:pPr>
      <w:r>
        <w:t>PODSTAWOWY</w:t>
      </w:r>
    </w:p>
    <w:p w14:paraId="20575FA5" w14:textId="270FBC03" w:rsidR="009731C5" w:rsidRDefault="009731C5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48813000-0 System informacji ruchu pasażerskiego</w:t>
      </w:r>
    </w:p>
    <w:p w14:paraId="21AC7A23" w14:textId="3120861E" w:rsidR="006115D5" w:rsidRDefault="006115D5" w:rsidP="0076112D">
      <w:pPr>
        <w:pStyle w:val="Akapitzlist"/>
        <w:spacing w:before="40"/>
        <w:ind w:left="709" w:hanging="425"/>
      </w:pPr>
      <w:r>
        <w:t>UZUPEŁNIAJĄCE</w:t>
      </w:r>
    </w:p>
    <w:p w14:paraId="160F0440" w14:textId="4DC82A23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30210000-4 - Maszyny do przetwarzania danych (sprzęt)</w:t>
      </w:r>
    </w:p>
    <w:p w14:paraId="5922CB9D" w14:textId="4D8FCC52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30211200-3 - Osprzęt do dużych systemów komputerowych</w:t>
      </w:r>
    </w:p>
    <w:p w14:paraId="26EA2100" w14:textId="705DE7C8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30236000-2 - Różny sprzęt komputerowy</w:t>
      </w:r>
    </w:p>
    <w:p w14:paraId="7F00C41A" w14:textId="3DC0249F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45310000-3 - Roboty instalacyjne elektryczne</w:t>
      </w:r>
    </w:p>
    <w:p w14:paraId="78BF8E03" w14:textId="597CB8D6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48000000-8 - Pakiety oprogramowania i systemy informatyczne</w:t>
      </w:r>
    </w:p>
    <w:p w14:paraId="1BC1E321" w14:textId="3E10A2F8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48610000-7 - Systemy baz danych</w:t>
      </w:r>
    </w:p>
    <w:p w14:paraId="7833272D" w14:textId="43DDA70E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48611000-4 - Pakiety oprogramowanie dla baz danych</w:t>
      </w:r>
    </w:p>
    <w:p w14:paraId="5D72E068" w14:textId="114C6708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48700000-5 - Pakiety oprogramowania użytkowego</w:t>
      </w:r>
    </w:p>
    <w:p w14:paraId="1B17E7C0" w14:textId="3B196B28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48800000-6 - Systemy i serwery informacyjne</w:t>
      </w:r>
    </w:p>
    <w:p w14:paraId="67012481" w14:textId="3E871735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48900000-7 Różne pakiety oprogramowania i systemy komputerowe;</w:t>
      </w:r>
    </w:p>
    <w:p w14:paraId="023B286A" w14:textId="5F922844" w:rsidR="00F12C8F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>
        <w:t>72000000-5 usługi informatyczne: konsultacyjne, opracowywania oprogramowania, internetowe i wsparcia</w:t>
      </w:r>
    </w:p>
    <w:p w14:paraId="0AEEE098" w14:textId="7F19A4F7" w:rsidR="0076112D" w:rsidRDefault="0076112D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 w:rsidRPr="0076112D">
        <w:t>72253200-5 Usługi w zakresie wsparcia systemu</w:t>
      </w:r>
    </w:p>
    <w:p w14:paraId="15DAA5B9" w14:textId="63FD88D3" w:rsidR="00B650C5" w:rsidRDefault="00B650C5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 w:rsidRPr="00B650C5">
        <w:t>72310000-1 Usługi przetwarzania danych</w:t>
      </w:r>
    </w:p>
    <w:p w14:paraId="1077006A" w14:textId="05F765B7" w:rsidR="00B650C5" w:rsidRDefault="00B650C5" w:rsidP="0076112D">
      <w:pPr>
        <w:pStyle w:val="Akapitzlist"/>
        <w:numPr>
          <w:ilvl w:val="6"/>
          <w:numId w:val="1"/>
        </w:numPr>
        <w:spacing w:before="40"/>
        <w:ind w:left="709" w:hanging="425"/>
      </w:pPr>
      <w:r w:rsidRPr="00B650C5">
        <w:t>72317000-0 Usługi przechowywania danych</w:t>
      </w:r>
    </w:p>
    <w:p w14:paraId="7F05C81C" w14:textId="77777777" w:rsidR="00C824F2" w:rsidRDefault="00C824F2" w:rsidP="00C824F2">
      <w:pPr>
        <w:pStyle w:val="Akapitzlist"/>
        <w:spacing w:before="40"/>
        <w:ind w:left="709"/>
      </w:pPr>
    </w:p>
    <w:p w14:paraId="52720889" w14:textId="1F0BB0E4" w:rsidR="0049709F" w:rsidRDefault="0049709F" w:rsidP="0049709F">
      <w:pPr>
        <w:pStyle w:val="Akapitzlist"/>
        <w:numPr>
          <w:ilvl w:val="0"/>
          <w:numId w:val="2"/>
        </w:numPr>
        <w:spacing w:before="240" w:after="120"/>
        <w:ind w:left="426" w:hanging="426"/>
        <w:rPr>
          <w:b/>
          <w:bCs/>
        </w:rPr>
      </w:pPr>
      <w:r>
        <w:rPr>
          <w:b/>
          <w:bCs/>
        </w:rPr>
        <w:lastRenderedPageBreak/>
        <w:t>Zamówienie sektorowe</w:t>
      </w:r>
    </w:p>
    <w:p w14:paraId="3D19C18F" w14:textId="75A39157" w:rsidR="00E235FF" w:rsidRDefault="00C824F2" w:rsidP="00C824F2">
      <w:pPr>
        <w:pStyle w:val="Akapitzlist"/>
        <w:spacing w:before="240" w:after="120"/>
        <w:ind w:left="284"/>
        <w:jc w:val="both"/>
      </w:pPr>
      <w:r w:rsidRPr="00C824F2">
        <w:t>Udzielenie zamówienia na system automatycznego zliczania pasażerów jest zamówieniem sektorowym, jest ono bowiem udzielane w celu wykonywania jednej z działalności sektorowej organizatora komunikacji, tj. obsługi sieci świadczących publiczne usługi w zakresie transportu autobusowego. Czynności te wprost wynikają z ustawy, a ich realizacja jest konieczna dla prawidłowego świadczenia na rzecz mieszkańców usług przewozowych. Montaż w pojazdach transportu zbiorowego systemu automatycznego zliczania pasażerów umożliwi przede wszystkim lepsze planowanie tras i rozkładów jazdy i co za tym idzie przedstawianie coraz lepszej i bardziej dopasowanej do potrzeb pasażerów oferty przewozowej.</w:t>
      </w:r>
    </w:p>
    <w:sectPr w:rsidR="00E235FF" w:rsidSect="00C824F2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88C9D" w14:textId="77777777" w:rsidR="00FC39EA" w:rsidRDefault="00FC39EA" w:rsidP="00C824F2">
      <w:r>
        <w:separator/>
      </w:r>
    </w:p>
  </w:endnote>
  <w:endnote w:type="continuationSeparator" w:id="0">
    <w:p w14:paraId="26A9BE0D" w14:textId="77777777" w:rsidR="00FC39EA" w:rsidRDefault="00FC39EA" w:rsidP="00C8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6689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CCDA3E" w14:textId="6E8BA555" w:rsidR="00C824F2" w:rsidRDefault="00C824F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133293" w14:textId="77777777" w:rsidR="00C824F2" w:rsidRDefault="00C82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12FA5" w14:textId="77777777" w:rsidR="00FC39EA" w:rsidRDefault="00FC39EA" w:rsidP="00C824F2">
      <w:r>
        <w:separator/>
      </w:r>
    </w:p>
  </w:footnote>
  <w:footnote w:type="continuationSeparator" w:id="0">
    <w:p w14:paraId="49F2A958" w14:textId="77777777" w:rsidR="00FC39EA" w:rsidRDefault="00FC39EA" w:rsidP="00C82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A460A"/>
    <w:multiLevelType w:val="hybridMultilevel"/>
    <w:tmpl w:val="72EC593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F9A393A"/>
    <w:multiLevelType w:val="hybridMultilevel"/>
    <w:tmpl w:val="490816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7A7F1F"/>
    <w:multiLevelType w:val="hybridMultilevel"/>
    <w:tmpl w:val="558C6FF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207BC5"/>
    <w:multiLevelType w:val="multilevel"/>
    <w:tmpl w:val="C44E8E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</w:rPr>
    </w:lvl>
  </w:abstractNum>
  <w:abstractNum w:abstractNumId="4" w15:restartNumberingAfterBreak="0">
    <w:nsid w:val="1B9846DA"/>
    <w:multiLevelType w:val="hybridMultilevel"/>
    <w:tmpl w:val="D2A8F1D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ED144E"/>
    <w:multiLevelType w:val="hybridMultilevel"/>
    <w:tmpl w:val="5046FB4C"/>
    <w:lvl w:ilvl="0" w:tplc="B2BC76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A7173E"/>
    <w:multiLevelType w:val="hybridMultilevel"/>
    <w:tmpl w:val="B7A836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B273EC"/>
    <w:multiLevelType w:val="multilevel"/>
    <w:tmpl w:val="026069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</w:rPr>
    </w:lvl>
  </w:abstractNum>
  <w:abstractNum w:abstractNumId="8" w15:restartNumberingAfterBreak="0">
    <w:nsid w:val="32940EE2"/>
    <w:multiLevelType w:val="hybridMultilevel"/>
    <w:tmpl w:val="2C2E5BCE"/>
    <w:lvl w:ilvl="0" w:tplc="B2BC76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9567FDB"/>
    <w:multiLevelType w:val="hybridMultilevel"/>
    <w:tmpl w:val="A6A46052"/>
    <w:lvl w:ilvl="0" w:tplc="7F8A5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56042"/>
    <w:multiLevelType w:val="hybridMultilevel"/>
    <w:tmpl w:val="220CA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D7FF5"/>
    <w:multiLevelType w:val="hybridMultilevel"/>
    <w:tmpl w:val="53D483A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B741541"/>
    <w:multiLevelType w:val="hybridMultilevel"/>
    <w:tmpl w:val="0AACE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684DCD"/>
    <w:multiLevelType w:val="hybridMultilevel"/>
    <w:tmpl w:val="E098B10C"/>
    <w:lvl w:ilvl="0" w:tplc="B2BC76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40C3E79"/>
    <w:multiLevelType w:val="hybridMultilevel"/>
    <w:tmpl w:val="8782F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8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10"/>
  </w:num>
  <w:num w:numId="13">
    <w:abstractNumId w:val="7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AD"/>
    <w:rsid w:val="00095A2C"/>
    <w:rsid w:val="000B30AE"/>
    <w:rsid w:val="000C3DA3"/>
    <w:rsid w:val="000C5D64"/>
    <w:rsid w:val="000F237A"/>
    <w:rsid w:val="0010594C"/>
    <w:rsid w:val="001109BD"/>
    <w:rsid w:val="00121541"/>
    <w:rsid w:val="00131C83"/>
    <w:rsid w:val="00143DB4"/>
    <w:rsid w:val="00163AFA"/>
    <w:rsid w:val="001C463A"/>
    <w:rsid w:val="0023214E"/>
    <w:rsid w:val="002C52CB"/>
    <w:rsid w:val="00397085"/>
    <w:rsid w:val="003B103F"/>
    <w:rsid w:val="003C07B5"/>
    <w:rsid w:val="003C3EFB"/>
    <w:rsid w:val="003E73FB"/>
    <w:rsid w:val="003F42A0"/>
    <w:rsid w:val="004206ED"/>
    <w:rsid w:val="004473B4"/>
    <w:rsid w:val="00471ADB"/>
    <w:rsid w:val="00483A84"/>
    <w:rsid w:val="0049709F"/>
    <w:rsid w:val="004C375D"/>
    <w:rsid w:val="004C4CA8"/>
    <w:rsid w:val="005120F0"/>
    <w:rsid w:val="00532A75"/>
    <w:rsid w:val="00580754"/>
    <w:rsid w:val="005D74EE"/>
    <w:rsid w:val="005F0410"/>
    <w:rsid w:val="005F23AA"/>
    <w:rsid w:val="00601709"/>
    <w:rsid w:val="0060201C"/>
    <w:rsid w:val="006115D5"/>
    <w:rsid w:val="006166AA"/>
    <w:rsid w:val="00664191"/>
    <w:rsid w:val="006A1849"/>
    <w:rsid w:val="006F0C12"/>
    <w:rsid w:val="00745A97"/>
    <w:rsid w:val="0076112D"/>
    <w:rsid w:val="007B1032"/>
    <w:rsid w:val="00800C42"/>
    <w:rsid w:val="008454D1"/>
    <w:rsid w:val="008510E0"/>
    <w:rsid w:val="00852E06"/>
    <w:rsid w:val="008B1930"/>
    <w:rsid w:val="008B6E4C"/>
    <w:rsid w:val="008B6E4D"/>
    <w:rsid w:val="008C619B"/>
    <w:rsid w:val="0091642D"/>
    <w:rsid w:val="009371B3"/>
    <w:rsid w:val="00955CE3"/>
    <w:rsid w:val="009565EE"/>
    <w:rsid w:val="00964C5C"/>
    <w:rsid w:val="009731C5"/>
    <w:rsid w:val="00994C3B"/>
    <w:rsid w:val="009B48EB"/>
    <w:rsid w:val="00A206A0"/>
    <w:rsid w:val="00AB658C"/>
    <w:rsid w:val="00AC6299"/>
    <w:rsid w:val="00AD2652"/>
    <w:rsid w:val="00AD5CEC"/>
    <w:rsid w:val="00B650C5"/>
    <w:rsid w:val="00B660FE"/>
    <w:rsid w:val="00BD7D8A"/>
    <w:rsid w:val="00C0216D"/>
    <w:rsid w:val="00C05CB5"/>
    <w:rsid w:val="00C824F2"/>
    <w:rsid w:val="00C8282A"/>
    <w:rsid w:val="00CB72D7"/>
    <w:rsid w:val="00D079CC"/>
    <w:rsid w:val="00D07BAD"/>
    <w:rsid w:val="00D436B3"/>
    <w:rsid w:val="00D9570E"/>
    <w:rsid w:val="00DD79B4"/>
    <w:rsid w:val="00E235FF"/>
    <w:rsid w:val="00E4526B"/>
    <w:rsid w:val="00EA68E0"/>
    <w:rsid w:val="00ED3285"/>
    <w:rsid w:val="00EF37C2"/>
    <w:rsid w:val="00F12C8F"/>
    <w:rsid w:val="00F30A8C"/>
    <w:rsid w:val="00F43D54"/>
    <w:rsid w:val="00F95C62"/>
    <w:rsid w:val="00FA085A"/>
    <w:rsid w:val="00FC1806"/>
    <w:rsid w:val="00FC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F957"/>
  <w15:docId w15:val="{50AA69BC-EB74-4600-8CE1-B8F44425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BAD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7BAD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A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A97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A97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A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A97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2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4F2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4F2"/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9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E2FA5-6768-420C-88D7-6F96E6D3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Transportu Miejskiego</Company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Dziesiński</dc:creator>
  <cp:lastModifiedBy>Katarzyna Cieśla</cp:lastModifiedBy>
  <cp:revision>2</cp:revision>
  <dcterms:created xsi:type="dcterms:W3CDTF">2020-12-23T14:21:00Z</dcterms:created>
  <dcterms:modified xsi:type="dcterms:W3CDTF">2020-12-23T14:21:00Z</dcterms:modified>
</cp:coreProperties>
</file>